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26B1" w:rsidRDefault="002D26B1" w:rsidP="002D26B1">
      <w:pPr>
        <w:pStyle w:val="ArticleSection"/>
      </w:pPr>
      <w:r>
        <w:t>Original Articles</w:t>
      </w:r>
    </w:p>
    <w:p w:rsidR="002D26B1" w:rsidRDefault="002D26B1" w:rsidP="002D26B1">
      <w:pPr>
        <w:pStyle w:val="ArticleTitle"/>
        <w:rPr>
          <w:vertAlign w:val="superscript"/>
        </w:rPr>
      </w:pPr>
      <w:r>
        <w:t>Transfusion requirements in 970 patients with gunshot wounds</w:t>
      </w:r>
      <w:r>
        <w:rPr>
          <w:rStyle w:val="FootnoteReference"/>
        </w:rPr>
        <w:footnoteReference w:id="1"/>
      </w:r>
    </w:p>
    <w:p w:rsidR="002D26B1" w:rsidRDefault="002D26B1" w:rsidP="002D26B1">
      <w:pPr>
        <w:pStyle w:val="ArticleAuthor"/>
      </w:pPr>
      <w:r>
        <w:t>J.E. Payne,</w:t>
      </w:r>
      <w:r>
        <w:rPr>
          <w:rStyle w:val="FootnoteReference"/>
        </w:rPr>
        <w:footnoteReference w:id="2"/>
      </w:r>
      <w:r>
        <w:t xml:space="preserve"> H.J. Meyer,</w:t>
      </w:r>
      <w:r>
        <w:rPr>
          <w:rStyle w:val="FootnoteReference"/>
        </w:rPr>
        <w:footnoteReference w:id="3"/>
      </w:r>
      <w:r>
        <w:t xml:space="preserve"> T.V. Berne</w:t>
      </w:r>
      <w:r>
        <w:rPr>
          <w:rStyle w:val="FootnoteReference"/>
        </w:rPr>
        <w:footnoteReference w:id="4"/>
      </w:r>
    </w:p>
    <w:p w:rsidR="002D26B1" w:rsidRDefault="002D26B1" w:rsidP="002D26B1">
      <w:pPr>
        <w:pStyle w:val="ArticleFirstPara"/>
      </w:pPr>
    </w:p>
    <w:p w:rsidR="002D26B1" w:rsidRDefault="002D26B1" w:rsidP="002D26B1">
      <w:pPr>
        <w:pStyle w:val="ArticleHeading"/>
      </w:pPr>
      <w:r>
        <w:t>Abstract</w:t>
      </w:r>
    </w:p>
    <w:p w:rsidR="002D26B1" w:rsidRDefault="002D26B1" w:rsidP="002D26B1">
      <w:pPr>
        <w:pStyle w:val="ArticleFirstPara"/>
      </w:pPr>
      <w:r>
        <w:t xml:space="preserve">During 1990-1991, data on a consecutive series of gunshot wound (GSW) patients admitted to the Los Angeles County - University of Southern California Medical </w:t>
      </w:r>
      <w:proofErr w:type="spellStart"/>
      <w:r>
        <w:t>Center</w:t>
      </w:r>
      <w:proofErr w:type="spellEnd"/>
      <w:r>
        <w:t xml:space="preserve"> were collected. The information was recorded by Trauma Nurse Coordinators and analysed with the SPSS Version 6.1 advanced st</w:t>
      </w:r>
      <w:r>
        <w:t>a</w:t>
      </w:r>
      <w:r>
        <w:t>tistical package.  The volume of transfused packed cells and plasma was enumerated for each patient. Patients were also classified by injury-severity, body region and outcome. Single or multiple GSW of head, trunk and extremities occurred in 192, 645 and 133 victims. Mortality was 12.6 percent. Tran</w:t>
      </w:r>
      <w:r>
        <w:t>s</w:t>
      </w:r>
      <w:r>
        <w:t>fusions were given to 42, 135 and 17 of those with head, trunk and extremity injuries.  The most common volume was 600 ml or 2 units. The total was 722 litres or 2 406 units. Thirty-five patients received more than 5 litres. Coagulopathy and hypothermia were the main complications. This exp</w:t>
      </w:r>
      <w:r>
        <w:t>e</w:t>
      </w:r>
      <w:r>
        <w:t>rience could be related to warfare by adjusting the regions injured to those in warfare. In any event, 776 patients who survived were not transfused and would presumably be successfully triaged. Tran</w:t>
      </w:r>
      <w:r>
        <w:t>s</w:t>
      </w:r>
      <w:r>
        <w:t>fusion requirements would, irrespective of body region, be ultimately determined by the timing and control of bleeding.</w:t>
      </w:r>
    </w:p>
    <w:p w:rsidR="002D26B1" w:rsidRDefault="002D26B1" w:rsidP="002D26B1">
      <w:pPr>
        <w:pStyle w:val="ArticlePara"/>
      </w:pPr>
    </w:p>
    <w:p w:rsidR="002D26B1" w:rsidRDefault="002D26B1" w:rsidP="002D26B1">
      <w:pPr>
        <w:pStyle w:val="ArticlePara"/>
        <w:sectPr w:rsidR="002D26B1" w:rsidSect="002D26B1">
          <w:headerReference w:type="even" r:id="rId7"/>
          <w:headerReference w:type="default" r:id="rId8"/>
          <w:footerReference w:type="even" r:id="rId9"/>
          <w:footerReference w:type="default" r:id="rId10"/>
          <w:footnotePr>
            <w:numRestart w:val="eachPage"/>
          </w:footnotePr>
          <w:pgSz w:w="11907" w:h="16840" w:code="9"/>
          <w:pgMar w:top="1440" w:right="2552" w:bottom="1440" w:left="851" w:header="720" w:footer="720" w:gutter="0"/>
          <w:cols w:space="284"/>
        </w:sectPr>
      </w:pPr>
    </w:p>
    <w:p w:rsidR="002D26B1" w:rsidRDefault="002D26B1" w:rsidP="002D26B1">
      <w:pPr>
        <w:pStyle w:val="ArticleHeading"/>
        <w:spacing w:before="0"/>
      </w:pPr>
      <w:r>
        <w:lastRenderedPageBreak/>
        <w:t>Introduction</w:t>
      </w:r>
    </w:p>
    <w:p w:rsidR="002D26B1" w:rsidRDefault="002D26B1" w:rsidP="002D26B1">
      <w:pPr>
        <w:pStyle w:val="ArticleFirstPara"/>
      </w:pPr>
      <w:r>
        <w:t>Society worldwide has acknowledged the benev</w:t>
      </w:r>
      <w:r>
        <w:t>o</w:t>
      </w:r>
      <w:r>
        <w:t>lence of voluntary blood donors. Blood transf</w:t>
      </w:r>
      <w:r>
        <w:t>u</w:t>
      </w:r>
      <w:r>
        <w:t>sion is an essential support for modern medicine and surgery. Blood transfusion is the vital co</w:t>
      </w:r>
      <w:r>
        <w:t>m</w:t>
      </w:r>
      <w:r>
        <w:t>ponent of resuscitation of patients who are in haemorrhagic shock from any cause or wound. The hazards and side-effects of blood transfusion are well-known and hardly impinge upon its safety.</w:t>
      </w:r>
      <w:r>
        <w:rPr>
          <w:vertAlign w:val="superscript"/>
        </w:rPr>
        <w:t>1</w:t>
      </w:r>
    </w:p>
    <w:p w:rsidR="002D26B1" w:rsidRDefault="002D26B1" w:rsidP="002D26B1">
      <w:pPr>
        <w:pStyle w:val="ArticlePara"/>
      </w:pPr>
      <w:r>
        <w:t>Data about blood transfusion volume in civilians with gunshot wounds could enable comparisons with sparse data available from li</w:t>
      </w:r>
      <w:r>
        <w:t>t</w:t>
      </w:r>
      <w:r>
        <w:t>erature from combat experiences, to estimate blood transfusion requirements for future battl</w:t>
      </w:r>
      <w:r>
        <w:t>e</w:t>
      </w:r>
      <w:r>
        <w:t>field trauma management.</w:t>
      </w:r>
      <w:r>
        <w:rPr>
          <w:vertAlign w:val="superscript"/>
        </w:rPr>
        <w:t xml:space="preserve"> 2,3,4</w:t>
      </w:r>
      <w:r>
        <w:t xml:space="preserve"> </w:t>
      </w:r>
    </w:p>
    <w:p w:rsidR="002D26B1" w:rsidRDefault="002D26B1" w:rsidP="002D26B1">
      <w:pPr>
        <w:pStyle w:val="ArticleHeading"/>
      </w:pPr>
      <w:r>
        <w:t>Methods</w:t>
      </w:r>
    </w:p>
    <w:p w:rsidR="002D26B1" w:rsidRDefault="002D26B1" w:rsidP="002D26B1">
      <w:pPr>
        <w:pStyle w:val="ArticleFirstPara"/>
      </w:pPr>
      <w:r>
        <w:t>A study reported previously comprised an anal</w:t>
      </w:r>
      <w:r>
        <w:t>y</w:t>
      </w:r>
      <w:r>
        <w:t>sis of data recorded prospectively in the Trauma Emergency Medical Information System (TEMIS) for a consecutive series of patients with gunshot wounds (GSW) admitted to the Los A</w:t>
      </w:r>
      <w:r>
        <w:t>n</w:t>
      </w:r>
      <w:r>
        <w:t xml:space="preserve">geles County - University of Southern California Medical </w:t>
      </w:r>
      <w:proofErr w:type="spellStart"/>
      <w:r>
        <w:t>Center</w:t>
      </w:r>
      <w:proofErr w:type="spellEnd"/>
      <w:r>
        <w:t xml:space="preserve"> between 1 September  1989 and 31 August 1990.</w:t>
      </w:r>
      <w:r>
        <w:rPr>
          <w:vertAlign w:val="superscript"/>
        </w:rPr>
        <w:t>5</w:t>
      </w:r>
      <w:r>
        <w:t xml:space="preserve"> Body regions were reported as head when there was any wound of the head and neck, as trunk when there were wounds of the trunk with or without wounds of the extremities, and of extremities when there were only upper or lower extremity wounds.</w:t>
      </w:r>
      <w:r>
        <w:rPr>
          <w:b/>
        </w:rPr>
        <w:t xml:space="preserve">  </w:t>
      </w:r>
      <w:r>
        <w:t>Patients with th</w:t>
      </w:r>
      <w:r>
        <w:t>o</w:t>
      </w:r>
      <w:r>
        <w:t>racic and lumbar spinal cord injury who were paraplegic would be included in trunk unless specified as paraplegic.</w:t>
      </w:r>
    </w:p>
    <w:p w:rsidR="001E21CA" w:rsidRDefault="001E21CA"/>
    <w:p w:rsidR="002D26B1" w:rsidRDefault="002D26B1" w:rsidP="002D26B1">
      <w:pPr>
        <w:pStyle w:val="ArticlePara"/>
        <w:rPr>
          <w:b/>
        </w:rPr>
      </w:pPr>
      <w:r>
        <w:t>The injury severity score (ISS), the vo</w:t>
      </w:r>
      <w:r>
        <w:t>l</w:t>
      </w:r>
      <w:r>
        <w:t>ume (ml) of blood which was supplied as packed cells in 300 ml units, and the volume of fresh frozen plasma which was supplied in 2 ml units was also available. The data were recorded by Trauma Nurse reviewers and transcribed for this study to a 486 Personal Computer (ACER) containing the SPSS Version 6.1 advanced pac</w:t>
      </w:r>
      <w:r>
        <w:t>k</w:t>
      </w:r>
      <w:r>
        <w:t xml:space="preserve">age.  </w:t>
      </w:r>
    </w:p>
    <w:p w:rsidR="002D26B1" w:rsidRDefault="002D26B1" w:rsidP="002D26B1">
      <w:pPr>
        <w:pStyle w:val="ArticlePara"/>
      </w:pPr>
      <w:r>
        <w:t>Outliers would be classified as patients who received more than 5 000 ml blood transf</w:t>
      </w:r>
      <w:r>
        <w:t>u</w:t>
      </w:r>
      <w:r>
        <w:t>sion.</w:t>
      </w:r>
    </w:p>
    <w:p w:rsidR="002D26B1" w:rsidRDefault="002D26B1" w:rsidP="002D26B1">
      <w:pPr>
        <w:pStyle w:val="ArticlePara"/>
      </w:pPr>
      <w:r>
        <w:t>In wartime, injuries have a different r</w:t>
      </w:r>
      <w:r>
        <w:t>e</w:t>
      </w:r>
      <w:r>
        <w:t>gional distribution generally recognised to be about 12, 27 and 60 per cent for head, trunk and extremity respectively.</w:t>
      </w:r>
      <w:r>
        <w:rPr>
          <w:vertAlign w:val="superscript"/>
        </w:rPr>
        <w:t xml:space="preserve">6 </w:t>
      </w:r>
      <w:r>
        <w:t>Wartime estimates would be calculated by adjusting regional tran</w:t>
      </w:r>
      <w:r>
        <w:t>s</w:t>
      </w:r>
      <w:r>
        <w:t>fusion volumes.</w:t>
      </w:r>
    </w:p>
    <w:p w:rsidR="002D26B1" w:rsidRDefault="002D26B1" w:rsidP="002D26B1">
      <w:pPr>
        <w:pStyle w:val="ArticleHeading"/>
      </w:pPr>
      <w:r>
        <w:t>Results</w:t>
      </w:r>
    </w:p>
    <w:p w:rsidR="002D26B1" w:rsidRDefault="002D26B1" w:rsidP="002D26B1">
      <w:pPr>
        <w:pStyle w:val="ArticleFirstPara"/>
      </w:pPr>
      <w:r>
        <w:t>Single or multiple GSW of head, trunk and e</w:t>
      </w:r>
      <w:r>
        <w:t>x</w:t>
      </w:r>
      <w:r>
        <w:t>tremities occurred in 192, 645 and 133 patients respectively. The mortality of the patients in each region (in the same order) was 31, 10 and 0 percent. The numbers of patients in each region are further described by injury severity in T</w:t>
      </w:r>
      <w:r>
        <w:t>a</w:t>
      </w:r>
      <w:r>
        <w:t>ble 1. The number of patients transfused in T</w:t>
      </w:r>
      <w:r>
        <w:t>a</w:t>
      </w:r>
      <w:r>
        <w:t>ble 1 is given in Table 2.</w:t>
      </w:r>
    </w:p>
    <w:p w:rsidR="002D26B1" w:rsidRDefault="002D26B1" w:rsidP="002D26B1">
      <w:pPr>
        <w:pStyle w:val="Caption"/>
        <w:ind w:left="0" w:firstLine="0"/>
        <w:jc w:val="left"/>
      </w:pPr>
      <w:r>
        <w:rPr>
          <w:b/>
        </w:rPr>
        <w:t>Table 1.</w:t>
      </w:r>
      <w:r>
        <w:t xml:space="preserve"> Gunshot wounds by region of injury and Injury Severity Score</w:t>
      </w:r>
    </w:p>
    <w:tbl>
      <w:tblPr>
        <w:tblW w:w="0" w:type="auto"/>
        <w:tblInd w:w="119" w:type="dxa"/>
        <w:tblLayout w:type="fixed"/>
        <w:tblCellMar>
          <w:left w:w="120" w:type="dxa"/>
          <w:right w:w="120" w:type="dxa"/>
        </w:tblCellMar>
        <w:tblLook w:val="00B7" w:firstRow="1" w:lastRow="0" w:firstColumn="1" w:lastColumn="0" w:noHBand="0" w:noVBand="0"/>
      </w:tblPr>
      <w:tblGrid>
        <w:gridCol w:w="1158"/>
        <w:gridCol w:w="1094"/>
        <w:gridCol w:w="992"/>
      </w:tblGrid>
      <w:tr w:rsidR="002D26B1" w:rsidTr="00415CDC">
        <w:tblPrEx>
          <w:tblCellMar>
            <w:top w:w="0" w:type="dxa"/>
            <w:bottom w:w="0" w:type="dxa"/>
          </w:tblCellMar>
        </w:tblPrEx>
        <w:tc>
          <w:tcPr>
            <w:tcW w:w="1158" w:type="dxa"/>
            <w:tcBorders>
              <w:top w:val="single" w:sz="12" w:space="0" w:color="000000"/>
              <w:left w:val="single" w:sz="12" w:space="0" w:color="000000"/>
              <w:bottom w:val="single" w:sz="6" w:space="0" w:color="000000"/>
              <w:right w:val="single" w:sz="6" w:space="0" w:color="000000"/>
            </w:tcBorders>
          </w:tcPr>
          <w:p w:rsidR="002D26B1" w:rsidRDefault="002D26B1" w:rsidP="00415CDC">
            <w:pPr>
              <w:pStyle w:val="Table"/>
              <w:rPr>
                <w:b/>
              </w:rPr>
            </w:pPr>
            <w:r>
              <w:rPr>
                <w:b/>
              </w:rPr>
              <w:t>Region</w:t>
            </w:r>
          </w:p>
        </w:tc>
        <w:tc>
          <w:tcPr>
            <w:tcW w:w="1094"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ISS 0 - 15</w:t>
            </w:r>
          </w:p>
        </w:tc>
        <w:tc>
          <w:tcPr>
            <w:tcW w:w="992" w:type="dxa"/>
            <w:tcBorders>
              <w:top w:val="single" w:sz="12" w:space="0" w:color="000000"/>
              <w:left w:val="single" w:sz="6" w:space="0" w:color="000000"/>
              <w:bottom w:val="single" w:sz="6" w:space="0" w:color="000000"/>
              <w:right w:val="single" w:sz="12" w:space="0" w:color="000000"/>
            </w:tcBorders>
          </w:tcPr>
          <w:p w:rsidR="002D26B1" w:rsidRDefault="002D26B1" w:rsidP="00415CDC">
            <w:pPr>
              <w:pStyle w:val="Table"/>
              <w:jc w:val="center"/>
              <w:rPr>
                <w:b/>
              </w:rPr>
            </w:pPr>
            <w:r>
              <w:rPr>
                <w:b/>
              </w:rPr>
              <w:t>ISS &gt; 15</w:t>
            </w:r>
          </w:p>
        </w:tc>
      </w:tr>
      <w:tr w:rsidR="002D26B1" w:rsidTr="00415CDC">
        <w:tblPrEx>
          <w:tblCellMar>
            <w:top w:w="0" w:type="dxa"/>
            <w:bottom w:w="0" w:type="dxa"/>
          </w:tblCellMar>
        </w:tblPrEx>
        <w:tc>
          <w:tcPr>
            <w:tcW w:w="1158" w:type="dxa"/>
            <w:tcBorders>
              <w:left w:val="single" w:sz="12" w:space="0" w:color="000000"/>
              <w:right w:val="single" w:sz="6" w:space="0" w:color="000000"/>
            </w:tcBorders>
          </w:tcPr>
          <w:p w:rsidR="002D26B1" w:rsidRDefault="002D26B1" w:rsidP="00415CDC">
            <w:pPr>
              <w:pStyle w:val="Table"/>
              <w:rPr>
                <w:b/>
              </w:rPr>
            </w:pPr>
            <w:r>
              <w:rPr>
                <w:b/>
              </w:rPr>
              <w:t>Head</w:t>
            </w:r>
          </w:p>
        </w:tc>
        <w:tc>
          <w:tcPr>
            <w:tcW w:w="1094" w:type="dxa"/>
            <w:tcBorders>
              <w:left w:val="single" w:sz="6" w:space="0" w:color="000000"/>
              <w:right w:val="single" w:sz="6" w:space="0" w:color="000000"/>
            </w:tcBorders>
          </w:tcPr>
          <w:p w:rsidR="002D26B1" w:rsidRDefault="002D26B1" w:rsidP="00415CDC">
            <w:pPr>
              <w:pStyle w:val="Table"/>
              <w:jc w:val="center"/>
            </w:pPr>
            <w:r>
              <w:t>90</w:t>
            </w:r>
          </w:p>
        </w:tc>
        <w:tc>
          <w:tcPr>
            <w:tcW w:w="992" w:type="dxa"/>
            <w:tcBorders>
              <w:left w:val="single" w:sz="6" w:space="0" w:color="000000"/>
              <w:right w:val="single" w:sz="12" w:space="0" w:color="000000"/>
            </w:tcBorders>
          </w:tcPr>
          <w:p w:rsidR="002D26B1" w:rsidRDefault="002D26B1" w:rsidP="00415CDC">
            <w:pPr>
              <w:pStyle w:val="Table"/>
              <w:jc w:val="center"/>
            </w:pPr>
            <w:r>
              <w:t>102*</w:t>
            </w:r>
          </w:p>
        </w:tc>
      </w:tr>
      <w:tr w:rsidR="002D26B1" w:rsidTr="00415CDC">
        <w:tblPrEx>
          <w:tblCellMar>
            <w:top w:w="0" w:type="dxa"/>
            <w:bottom w:w="0" w:type="dxa"/>
          </w:tblCellMar>
        </w:tblPrEx>
        <w:tc>
          <w:tcPr>
            <w:tcW w:w="1158" w:type="dxa"/>
            <w:tcBorders>
              <w:left w:val="single" w:sz="12" w:space="0" w:color="000000"/>
              <w:right w:val="single" w:sz="6" w:space="0" w:color="000000"/>
            </w:tcBorders>
          </w:tcPr>
          <w:p w:rsidR="002D26B1" w:rsidRDefault="002D26B1" w:rsidP="00415CDC">
            <w:pPr>
              <w:pStyle w:val="Table"/>
              <w:rPr>
                <w:b/>
              </w:rPr>
            </w:pPr>
            <w:r>
              <w:rPr>
                <w:b/>
              </w:rPr>
              <w:t>Paraplegic</w:t>
            </w:r>
          </w:p>
        </w:tc>
        <w:tc>
          <w:tcPr>
            <w:tcW w:w="1094" w:type="dxa"/>
            <w:tcBorders>
              <w:left w:val="single" w:sz="6" w:space="0" w:color="000000"/>
              <w:right w:val="single" w:sz="6" w:space="0" w:color="000000"/>
            </w:tcBorders>
          </w:tcPr>
          <w:p w:rsidR="002D26B1" w:rsidRDefault="002D26B1" w:rsidP="00415CDC">
            <w:pPr>
              <w:pStyle w:val="Table"/>
              <w:jc w:val="center"/>
            </w:pPr>
            <w:r>
              <w:t>9</w:t>
            </w:r>
          </w:p>
        </w:tc>
        <w:tc>
          <w:tcPr>
            <w:tcW w:w="992" w:type="dxa"/>
            <w:tcBorders>
              <w:left w:val="single" w:sz="6" w:space="0" w:color="000000"/>
              <w:right w:val="single" w:sz="12" w:space="0" w:color="000000"/>
            </w:tcBorders>
          </w:tcPr>
          <w:p w:rsidR="002D26B1" w:rsidRDefault="002D26B1" w:rsidP="00415CDC">
            <w:pPr>
              <w:pStyle w:val="Table"/>
              <w:jc w:val="center"/>
            </w:pPr>
            <w:r>
              <w:t>27</w:t>
            </w:r>
          </w:p>
        </w:tc>
      </w:tr>
      <w:tr w:rsidR="002D26B1" w:rsidTr="00415CDC">
        <w:tblPrEx>
          <w:tblCellMar>
            <w:top w:w="0" w:type="dxa"/>
            <w:bottom w:w="0" w:type="dxa"/>
          </w:tblCellMar>
        </w:tblPrEx>
        <w:tc>
          <w:tcPr>
            <w:tcW w:w="1158" w:type="dxa"/>
            <w:tcBorders>
              <w:left w:val="single" w:sz="12" w:space="0" w:color="000000"/>
              <w:right w:val="single" w:sz="6" w:space="0" w:color="000000"/>
            </w:tcBorders>
          </w:tcPr>
          <w:p w:rsidR="002D26B1" w:rsidRDefault="002D26B1" w:rsidP="00415CDC">
            <w:pPr>
              <w:pStyle w:val="Table"/>
              <w:rPr>
                <w:b/>
              </w:rPr>
            </w:pPr>
            <w:r>
              <w:rPr>
                <w:b/>
              </w:rPr>
              <w:t>Trunk</w:t>
            </w:r>
          </w:p>
        </w:tc>
        <w:tc>
          <w:tcPr>
            <w:tcW w:w="1094" w:type="dxa"/>
            <w:tcBorders>
              <w:left w:val="single" w:sz="6" w:space="0" w:color="000000"/>
              <w:right w:val="single" w:sz="6" w:space="0" w:color="000000"/>
            </w:tcBorders>
          </w:tcPr>
          <w:p w:rsidR="002D26B1" w:rsidRDefault="002D26B1" w:rsidP="00415CDC">
            <w:pPr>
              <w:pStyle w:val="Table"/>
              <w:jc w:val="center"/>
            </w:pPr>
            <w:r>
              <w:t xml:space="preserve">422 ** </w:t>
            </w:r>
          </w:p>
        </w:tc>
        <w:tc>
          <w:tcPr>
            <w:tcW w:w="992" w:type="dxa"/>
            <w:tcBorders>
              <w:left w:val="single" w:sz="6" w:space="0" w:color="000000"/>
              <w:right w:val="single" w:sz="12" w:space="0" w:color="000000"/>
            </w:tcBorders>
          </w:tcPr>
          <w:p w:rsidR="002D26B1" w:rsidRDefault="002D26B1" w:rsidP="00415CDC">
            <w:pPr>
              <w:pStyle w:val="Table"/>
              <w:jc w:val="center"/>
            </w:pPr>
            <w:r>
              <w:t xml:space="preserve">187 *** </w:t>
            </w:r>
          </w:p>
        </w:tc>
      </w:tr>
      <w:tr w:rsidR="002D26B1" w:rsidTr="00415CDC">
        <w:tblPrEx>
          <w:tblCellMar>
            <w:top w:w="0" w:type="dxa"/>
            <w:bottom w:w="0" w:type="dxa"/>
          </w:tblCellMar>
        </w:tblPrEx>
        <w:tc>
          <w:tcPr>
            <w:tcW w:w="1158" w:type="dxa"/>
            <w:tcBorders>
              <w:left w:val="single" w:sz="12" w:space="0" w:color="000000"/>
              <w:bottom w:val="single" w:sz="12" w:space="0" w:color="000000"/>
              <w:right w:val="single" w:sz="6" w:space="0" w:color="000000"/>
            </w:tcBorders>
          </w:tcPr>
          <w:p w:rsidR="002D26B1" w:rsidRDefault="002D26B1" w:rsidP="00415CDC">
            <w:pPr>
              <w:pStyle w:val="Table"/>
              <w:rPr>
                <w:b/>
              </w:rPr>
            </w:pPr>
            <w:r>
              <w:rPr>
                <w:b/>
              </w:rPr>
              <w:t>Extremity</w:t>
            </w:r>
          </w:p>
        </w:tc>
        <w:tc>
          <w:tcPr>
            <w:tcW w:w="1094" w:type="dxa"/>
            <w:tcBorders>
              <w:left w:val="single" w:sz="6" w:space="0" w:color="000000"/>
              <w:bottom w:val="single" w:sz="12" w:space="0" w:color="000000"/>
              <w:right w:val="single" w:sz="6" w:space="0" w:color="000000"/>
            </w:tcBorders>
          </w:tcPr>
          <w:p w:rsidR="002D26B1" w:rsidRDefault="002D26B1" w:rsidP="00415CDC">
            <w:pPr>
              <w:pStyle w:val="Table"/>
              <w:jc w:val="center"/>
            </w:pPr>
            <w:r>
              <w:t xml:space="preserve">127 </w:t>
            </w:r>
          </w:p>
        </w:tc>
        <w:tc>
          <w:tcPr>
            <w:tcW w:w="992" w:type="dxa"/>
            <w:tcBorders>
              <w:left w:val="single" w:sz="6" w:space="0" w:color="000000"/>
              <w:bottom w:val="single" w:sz="12" w:space="0" w:color="000000"/>
              <w:right w:val="single" w:sz="12" w:space="0" w:color="000000"/>
            </w:tcBorders>
          </w:tcPr>
          <w:p w:rsidR="002D26B1" w:rsidRDefault="002D26B1" w:rsidP="00415CDC">
            <w:pPr>
              <w:pStyle w:val="Table"/>
              <w:jc w:val="center"/>
            </w:pPr>
            <w:r>
              <w:t>6</w:t>
            </w:r>
          </w:p>
        </w:tc>
      </w:tr>
    </w:tbl>
    <w:p w:rsidR="002D26B1" w:rsidRDefault="002D26B1" w:rsidP="002D26B1">
      <w:pPr>
        <w:pStyle w:val="Table"/>
        <w:rPr>
          <w:rFonts w:ascii="Arial" w:hAnsi="Arial"/>
          <w:sz w:val="16"/>
          <w:vertAlign w:val="superscript"/>
        </w:rPr>
      </w:pPr>
      <w:r>
        <w:rPr>
          <w:rFonts w:ascii="Arial" w:hAnsi="Arial"/>
          <w:sz w:val="16"/>
          <w:vertAlign w:val="superscript"/>
        </w:rPr>
        <w:t>*</w:t>
      </w:r>
      <w:r>
        <w:rPr>
          <w:rFonts w:ascii="Arial" w:hAnsi="Arial"/>
          <w:sz w:val="16"/>
        </w:rPr>
        <w:tab/>
        <w:t>60 Dead</w:t>
      </w:r>
    </w:p>
    <w:p w:rsidR="002D26B1" w:rsidRDefault="002D26B1" w:rsidP="002D26B1">
      <w:pPr>
        <w:pStyle w:val="Table"/>
        <w:rPr>
          <w:rFonts w:ascii="Arial" w:hAnsi="Arial"/>
          <w:sz w:val="16"/>
          <w:vertAlign w:val="superscript"/>
        </w:rPr>
      </w:pPr>
      <w:r>
        <w:rPr>
          <w:rFonts w:ascii="Arial" w:hAnsi="Arial"/>
          <w:sz w:val="16"/>
          <w:vertAlign w:val="superscript"/>
        </w:rPr>
        <w:t>**</w:t>
      </w:r>
      <w:r>
        <w:rPr>
          <w:rFonts w:ascii="Arial" w:hAnsi="Arial"/>
          <w:sz w:val="16"/>
        </w:rPr>
        <w:tab/>
        <w:t xml:space="preserve"> 8 Dead</w:t>
      </w:r>
    </w:p>
    <w:p w:rsidR="002D26B1" w:rsidRDefault="002D26B1" w:rsidP="002D26B1">
      <w:pPr>
        <w:pStyle w:val="Table"/>
        <w:rPr>
          <w:rFonts w:ascii="Arial" w:hAnsi="Arial"/>
          <w:sz w:val="16"/>
        </w:rPr>
      </w:pPr>
      <w:r>
        <w:rPr>
          <w:rFonts w:ascii="Arial" w:hAnsi="Arial"/>
          <w:sz w:val="16"/>
          <w:vertAlign w:val="superscript"/>
        </w:rPr>
        <w:t>***</w:t>
      </w:r>
      <w:r>
        <w:rPr>
          <w:rFonts w:ascii="Arial" w:hAnsi="Arial"/>
          <w:sz w:val="16"/>
        </w:rPr>
        <w:tab/>
        <w:t>56 Dead</w:t>
      </w:r>
    </w:p>
    <w:p w:rsidR="002D26B1" w:rsidRDefault="002D26B1" w:rsidP="002D26B1">
      <w:pPr>
        <w:pStyle w:val="Caption"/>
        <w:ind w:left="0" w:firstLine="0"/>
        <w:jc w:val="left"/>
      </w:pPr>
      <w:r>
        <w:rPr>
          <w:b/>
        </w:rPr>
        <w:t>Table 2.</w:t>
      </w:r>
      <w:r>
        <w:t xml:space="preserve"> Patients transfused by region of injury and Injury Severity Score</w:t>
      </w:r>
    </w:p>
    <w:tbl>
      <w:tblPr>
        <w:tblW w:w="0" w:type="auto"/>
        <w:tblInd w:w="119" w:type="dxa"/>
        <w:tblLayout w:type="fixed"/>
        <w:tblCellMar>
          <w:left w:w="120" w:type="dxa"/>
          <w:right w:w="120" w:type="dxa"/>
        </w:tblCellMar>
        <w:tblLook w:val="00B7" w:firstRow="1" w:lastRow="0" w:firstColumn="1" w:lastColumn="0" w:noHBand="0" w:noVBand="0"/>
      </w:tblPr>
      <w:tblGrid>
        <w:gridCol w:w="1158"/>
        <w:gridCol w:w="1094"/>
        <w:gridCol w:w="992"/>
      </w:tblGrid>
      <w:tr w:rsidR="002D26B1" w:rsidTr="00415CDC">
        <w:tblPrEx>
          <w:tblCellMar>
            <w:top w:w="0" w:type="dxa"/>
            <w:bottom w:w="0" w:type="dxa"/>
          </w:tblCellMar>
        </w:tblPrEx>
        <w:tc>
          <w:tcPr>
            <w:tcW w:w="1158" w:type="dxa"/>
            <w:tcBorders>
              <w:top w:val="single" w:sz="12" w:space="0" w:color="000000"/>
              <w:left w:val="single" w:sz="12" w:space="0" w:color="000000"/>
              <w:bottom w:val="single" w:sz="6" w:space="0" w:color="000000"/>
              <w:right w:val="single" w:sz="6" w:space="0" w:color="000000"/>
            </w:tcBorders>
          </w:tcPr>
          <w:p w:rsidR="002D26B1" w:rsidRDefault="002D26B1" w:rsidP="00415CDC">
            <w:pPr>
              <w:pStyle w:val="Table"/>
              <w:rPr>
                <w:b/>
              </w:rPr>
            </w:pPr>
            <w:r>
              <w:rPr>
                <w:b/>
              </w:rPr>
              <w:t>Region</w:t>
            </w:r>
          </w:p>
        </w:tc>
        <w:tc>
          <w:tcPr>
            <w:tcW w:w="1094"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ISS 0 - 15</w:t>
            </w:r>
          </w:p>
        </w:tc>
        <w:tc>
          <w:tcPr>
            <w:tcW w:w="992" w:type="dxa"/>
            <w:tcBorders>
              <w:top w:val="single" w:sz="12" w:space="0" w:color="000000"/>
              <w:left w:val="single" w:sz="6" w:space="0" w:color="000000"/>
              <w:bottom w:val="single" w:sz="6" w:space="0" w:color="000000"/>
              <w:right w:val="single" w:sz="12" w:space="0" w:color="000000"/>
            </w:tcBorders>
          </w:tcPr>
          <w:p w:rsidR="002D26B1" w:rsidRDefault="002D26B1" w:rsidP="00415CDC">
            <w:pPr>
              <w:pStyle w:val="Table"/>
              <w:jc w:val="center"/>
              <w:rPr>
                <w:b/>
              </w:rPr>
            </w:pPr>
            <w:r>
              <w:rPr>
                <w:b/>
              </w:rPr>
              <w:t>ISS &gt; 15</w:t>
            </w:r>
          </w:p>
        </w:tc>
      </w:tr>
      <w:tr w:rsidR="002D26B1" w:rsidTr="00415CDC">
        <w:tblPrEx>
          <w:tblCellMar>
            <w:top w:w="0" w:type="dxa"/>
            <w:bottom w:w="0" w:type="dxa"/>
          </w:tblCellMar>
        </w:tblPrEx>
        <w:tc>
          <w:tcPr>
            <w:tcW w:w="1158" w:type="dxa"/>
            <w:tcBorders>
              <w:left w:val="single" w:sz="12" w:space="0" w:color="000000"/>
              <w:right w:val="single" w:sz="6" w:space="0" w:color="000000"/>
            </w:tcBorders>
          </w:tcPr>
          <w:p w:rsidR="002D26B1" w:rsidRDefault="002D26B1" w:rsidP="00415CDC">
            <w:pPr>
              <w:pStyle w:val="Table"/>
              <w:rPr>
                <w:b/>
              </w:rPr>
            </w:pPr>
            <w:r>
              <w:rPr>
                <w:b/>
              </w:rPr>
              <w:t xml:space="preserve">Head </w:t>
            </w:r>
          </w:p>
        </w:tc>
        <w:tc>
          <w:tcPr>
            <w:tcW w:w="1094" w:type="dxa"/>
            <w:tcBorders>
              <w:left w:val="single" w:sz="6" w:space="0" w:color="000000"/>
              <w:right w:val="single" w:sz="6" w:space="0" w:color="000000"/>
            </w:tcBorders>
          </w:tcPr>
          <w:p w:rsidR="002D26B1" w:rsidRDefault="002D26B1" w:rsidP="00415CDC">
            <w:pPr>
              <w:pStyle w:val="Table"/>
              <w:jc w:val="center"/>
            </w:pPr>
            <w:r>
              <w:t>7</w:t>
            </w:r>
          </w:p>
        </w:tc>
        <w:tc>
          <w:tcPr>
            <w:tcW w:w="992" w:type="dxa"/>
            <w:tcBorders>
              <w:left w:val="single" w:sz="6" w:space="0" w:color="000000"/>
              <w:right w:val="single" w:sz="12" w:space="0" w:color="000000"/>
            </w:tcBorders>
          </w:tcPr>
          <w:p w:rsidR="002D26B1" w:rsidRDefault="002D26B1" w:rsidP="00415CDC">
            <w:pPr>
              <w:pStyle w:val="Table"/>
              <w:jc w:val="center"/>
            </w:pPr>
            <w:r>
              <w:t xml:space="preserve">34 </w:t>
            </w:r>
            <w:r>
              <w:rPr>
                <w:vertAlign w:val="superscript"/>
              </w:rPr>
              <w:t>*</w:t>
            </w:r>
          </w:p>
        </w:tc>
      </w:tr>
      <w:tr w:rsidR="002D26B1" w:rsidTr="00415CDC">
        <w:tblPrEx>
          <w:tblCellMar>
            <w:top w:w="0" w:type="dxa"/>
            <w:bottom w:w="0" w:type="dxa"/>
          </w:tblCellMar>
        </w:tblPrEx>
        <w:tc>
          <w:tcPr>
            <w:tcW w:w="1158" w:type="dxa"/>
            <w:tcBorders>
              <w:left w:val="single" w:sz="12" w:space="0" w:color="000000"/>
              <w:right w:val="single" w:sz="6" w:space="0" w:color="000000"/>
            </w:tcBorders>
          </w:tcPr>
          <w:p w:rsidR="002D26B1" w:rsidRDefault="002D26B1" w:rsidP="00415CDC">
            <w:pPr>
              <w:pStyle w:val="Table"/>
              <w:rPr>
                <w:b/>
              </w:rPr>
            </w:pPr>
            <w:r>
              <w:rPr>
                <w:b/>
              </w:rPr>
              <w:t>Paraplegic</w:t>
            </w:r>
          </w:p>
        </w:tc>
        <w:tc>
          <w:tcPr>
            <w:tcW w:w="1094" w:type="dxa"/>
            <w:tcBorders>
              <w:left w:val="single" w:sz="6" w:space="0" w:color="000000"/>
              <w:right w:val="single" w:sz="6" w:space="0" w:color="000000"/>
            </w:tcBorders>
          </w:tcPr>
          <w:p w:rsidR="002D26B1" w:rsidRDefault="002D26B1" w:rsidP="00415CDC">
            <w:pPr>
              <w:pStyle w:val="Table"/>
              <w:jc w:val="center"/>
            </w:pPr>
            <w:r>
              <w:t>2</w:t>
            </w:r>
          </w:p>
        </w:tc>
        <w:tc>
          <w:tcPr>
            <w:tcW w:w="992" w:type="dxa"/>
            <w:tcBorders>
              <w:left w:val="single" w:sz="6" w:space="0" w:color="000000"/>
              <w:right w:val="single" w:sz="12" w:space="0" w:color="000000"/>
            </w:tcBorders>
          </w:tcPr>
          <w:p w:rsidR="002D26B1" w:rsidRDefault="002D26B1" w:rsidP="00415CDC">
            <w:pPr>
              <w:pStyle w:val="Table"/>
              <w:jc w:val="center"/>
            </w:pPr>
            <w:r>
              <w:t>6</w:t>
            </w:r>
          </w:p>
        </w:tc>
      </w:tr>
      <w:tr w:rsidR="002D26B1" w:rsidTr="00415CDC">
        <w:tblPrEx>
          <w:tblCellMar>
            <w:top w:w="0" w:type="dxa"/>
            <w:bottom w:w="0" w:type="dxa"/>
          </w:tblCellMar>
        </w:tblPrEx>
        <w:tc>
          <w:tcPr>
            <w:tcW w:w="1158" w:type="dxa"/>
            <w:tcBorders>
              <w:left w:val="single" w:sz="12" w:space="0" w:color="000000"/>
              <w:right w:val="single" w:sz="6" w:space="0" w:color="000000"/>
            </w:tcBorders>
          </w:tcPr>
          <w:p w:rsidR="002D26B1" w:rsidRDefault="002D26B1" w:rsidP="00415CDC">
            <w:pPr>
              <w:pStyle w:val="Table"/>
              <w:rPr>
                <w:b/>
              </w:rPr>
            </w:pPr>
            <w:r>
              <w:rPr>
                <w:b/>
              </w:rPr>
              <w:t>Trunk</w:t>
            </w:r>
          </w:p>
        </w:tc>
        <w:tc>
          <w:tcPr>
            <w:tcW w:w="1094" w:type="dxa"/>
            <w:tcBorders>
              <w:left w:val="single" w:sz="6" w:space="0" w:color="000000"/>
              <w:right w:val="single" w:sz="6" w:space="0" w:color="000000"/>
            </w:tcBorders>
          </w:tcPr>
          <w:p w:rsidR="002D26B1" w:rsidRDefault="002D26B1" w:rsidP="00415CDC">
            <w:pPr>
              <w:pStyle w:val="Table"/>
              <w:jc w:val="center"/>
            </w:pPr>
            <w:r>
              <w:t xml:space="preserve">32 </w:t>
            </w:r>
            <w:r>
              <w:rPr>
                <w:vertAlign w:val="superscript"/>
              </w:rPr>
              <w:t>**</w:t>
            </w:r>
          </w:p>
        </w:tc>
        <w:tc>
          <w:tcPr>
            <w:tcW w:w="992" w:type="dxa"/>
            <w:tcBorders>
              <w:left w:val="single" w:sz="6" w:space="0" w:color="000000"/>
              <w:right w:val="single" w:sz="12" w:space="0" w:color="000000"/>
            </w:tcBorders>
          </w:tcPr>
          <w:p w:rsidR="002D26B1" w:rsidRDefault="002D26B1" w:rsidP="00415CDC">
            <w:pPr>
              <w:pStyle w:val="Table"/>
              <w:jc w:val="center"/>
            </w:pPr>
            <w:r>
              <w:t xml:space="preserve">95 </w:t>
            </w:r>
            <w:r>
              <w:rPr>
                <w:vertAlign w:val="superscript"/>
              </w:rPr>
              <w:t>***</w:t>
            </w:r>
          </w:p>
        </w:tc>
      </w:tr>
      <w:tr w:rsidR="002D26B1" w:rsidTr="00415CDC">
        <w:tblPrEx>
          <w:tblCellMar>
            <w:top w:w="0" w:type="dxa"/>
            <w:bottom w:w="0" w:type="dxa"/>
          </w:tblCellMar>
        </w:tblPrEx>
        <w:tc>
          <w:tcPr>
            <w:tcW w:w="1158" w:type="dxa"/>
            <w:tcBorders>
              <w:left w:val="single" w:sz="12" w:space="0" w:color="000000"/>
              <w:bottom w:val="single" w:sz="12" w:space="0" w:color="000000"/>
              <w:right w:val="single" w:sz="6" w:space="0" w:color="000000"/>
            </w:tcBorders>
          </w:tcPr>
          <w:p w:rsidR="002D26B1" w:rsidRDefault="002D26B1" w:rsidP="00415CDC">
            <w:pPr>
              <w:pStyle w:val="Table"/>
              <w:rPr>
                <w:b/>
              </w:rPr>
            </w:pPr>
            <w:r>
              <w:rPr>
                <w:b/>
              </w:rPr>
              <w:t>Extremity</w:t>
            </w:r>
          </w:p>
        </w:tc>
        <w:tc>
          <w:tcPr>
            <w:tcW w:w="1094" w:type="dxa"/>
            <w:tcBorders>
              <w:left w:val="single" w:sz="6" w:space="0" w:color="000000"/>
              <w:bottom w:val="single" w:sz="12" w:space="0" w:color="000000"/>
              <w:right w:val="single" w:sz="6" w:space="0" w:color="000000"/>
            </w:tcBorders>
          </w:tcPr>
          <w:p w:rsidR="002D26B1" w:rsidRDefault="002D26B1" w:rsidP="00415CDC">
            <w:pPr>
              <w:pStyle w:val="Table"/>
              <w:jc w:val="center"/>
            </w:pPr>
            <w:r>
              <w:t>14</w:t>
            </w:r>
          </w:p>
        </w:tc>
        <w:tc>
          <w:tcPr>
            <w:tcW w:w="992" w:type="dxa"/>
            <w:tcBorders>
              <w:left w:val="single" w:sz="6" w:space="0" w:color="000000"/>
              <w:bottom w:val="single" w:sz="12" w:space="0" w:color="000000"/>
              <w:right w:val="single" w:sz="12" w:space="0" w:color="000000"/>
            </w:tcBorders>
          </w:tcPr>
          <w:p w:rsidR="002D26B1" w:rsidRDefault="002D26B1" w:rsidP="00415CDC">
            <w:pPr>
              <w:pStyle w:val="Table"/>
              <w:jc w:val="center"/>
            </w:pPr>
            <w:r>
              <w:t>3</w:t>
            </w:r>
          </w:p>
        </w:tc>
      </w:tr>
    </w:tbl>
    <w:p w:rsidR="002D26B1" w:rsidRDefault="002D26B1" w:rsidP="002D26B1">
      <w:pPr>
        <w:pStyle w:val="Table"/>
        <w:rPr>
          <w:rFonts w:ascii="Arial" w:hAnsi="Arial"/>
          <w:sz w:val="16"/>
        </w:rPr>
      </w:pPr>
      <w:r>
        <w:rPr>
          <w:rFonts w:ascii="Arial" w:hAnsi="Arial"/>
          <w:sz w:val="16"/>
          <w:vertAlign w:val="superscript"/>
        </w:rPr>
        <w:t>*</w:t>
      </w:r>
      <w:r>
        <w:rPr>
          <w:rFonts w:ascii="Arial" w:hAnsi="Arial"/>
          <w:sz w:val="16"/>
        </w:rPr>
        <w:tab/>
        <w:t>Transfusions in 23 deceased</w:t>
      </w:r>
    </w:p>
    <w:p w:rsidR="002D26B1" w:rsidRDefault="002D26B1" w:rsidP="002D26B1">
      <w:pPr>
        <w:pStyle w:val="Table"/>
        <w:rPr>
          <w:rFonts w:ascii="Arial" w:hAnsi="Arial"/>
          <w:sz w:val="16"/>
        </w:rPr>
      </w:pPr>
      <w:r>
        <w:rPr>
          <w:rFonts w:ascii="Arial" w:hAnsi="Arial"/>
          <w:sz w:val="16"/>
          <w:vertAlign w:val="superscript"/>
        </w:rPr>
        <w:t>**</w:t>
      </w:r>
      <w:r>
        <w:rPr>
          <w:rFonts w:ascii="Arial" w:hAnsi="Arial"/>
          <w:sz w:val="16"/>
        </w:rPr>
        <w:tab/>
        <w:t>Transfusions in 3 deceased</w:t>
      </w:r>
    </w:p>
    <w:p w:rsidR="002D26B1" w:rsidRDefault="002D26B1" w:rsidP="002D26B1">
      <w:pPr>
        <w:pStyle w:val="Table"/>
        <w:rPr>
          <w:rFonts w:ascii="Arial" w:hAnsi="Arial"/>
          <w:sz w:val="16"/>
        </w:rPr>
      </w:pPr>
      <w:r>
        <w:rPr>
          <w:rFonts w:ascii="Arial" w:hAnsi="Arial"/>
          <w:sz w:val="16"/>
          <w:vertAlign w:val="superscript"/>
        </w:rPr>
        <w:t>***</w:t>
      </w:r>
      <w:r>
        <w:rPr>
          <w:rFonts w:ascii="Arial" w:hAnsi="Arial"/>
          <w:sz w:val="16"/>
        </w:rPr>
        <w:t xml:space="preserve"> </w:t>
      </w:r>
      <w:r>
        <w:rPr>
          <w:rFonts w:ascii="Arial" w:hAnsi="Arial"/>
          <w:sz w:val="16"/>
        </w:rPr>
        <w:tab/>
        <w:t>Transfusions in 46 deceased</w:t>
      </w:r>
    </w:p>
    <w:p w:rsidR="002D26B1" w:rsidRDefault="002D26B1" w:rsidP="002D26B1">
      <w:pPr>
        <w:pStyle w:val="ArticlePara"/>
      </w:pPr>
    </w:p>
    <w:p w:rsidR="002D26B1" w:rsidRDefault="002D26B1" w:rsidP="002D26B1">
      <w:pPr>
        <w:pStyle w:val="ArticlePara"/>
      </w:pPr>
      <w:r>
        <w:t>The median volume of packed cells tran</w:t>
      </w:r>
      <w:r>
        <w:t>s</w:t>
      </w:r>
      <w:r>
        <w:t>fused according to injury severity and outcome is given in Table 3.</w:t>
      </w:r>
    </w:p>
    <w:p w:rsidR="002D26B1" w:rsidRDefault="002D26B1" w:rsidP="002D26B1">
      <w:pPr>
        <w:pStyle w:val="Caption"/>
        <w:jc w:val="left"/>
      </w:pPr>
      <w:r>
        <w:rPr>
          <w:b/>
        </w:rPr>
        <w:t>Table 3.</w:t>
      </w:r>
      <w:r>
        <w:t xml:space="preserve"> Median volumes (ml) tran</w:t>
      </w:r>
      <w:r>
        <w:t>s</w:t>
      </w:r>
      <w:r>
        <w:t>fused</w:t>
      </w:r>
    </w:p>
    <w:tbl>
      <w:tblPr>
        <w:tblW w:w="0" w:type="auto"/>
        <w:tblInd w:w="119" w:type="dxa"/>
        <w:tblLayout w:type="fixed"/>
        <w:tblCellMar>
          <w:left w:w="120" w:type="dxa"/>
          <w:right w:w="120" w:type="dxa"/>
        </w:tblCellMar>
        <w:tblLook w:val="00B7" w:firstRow="1" w:lastRow="0" w:firstColumn="1" w:lastColumn="0" w:noHBand="0" w:noVBand="0"/>
      </w:tblPr>
      <w:tblGrid>
        <w:gridCol w:w="1119"/>
        <w:gridCol w:w="1094"/>
        <w:gridCol w:w="992"/>
        <w:gridCol w:w="737"/>
      </w:tblGrid>
      <w:tr w:rsidR="002D26B1" w:rsidTr="00415CDC">
        <w:tblPrEx>
          <w:tblCellMar>
            <w:top w:w="0" w:type="dxa"/>
            <w:bottom w:w="0" w:type="dxa"/>
          </w:tblCellMar>
        </w:tblPrEx>
        <w:tc>
          <w:tcPr>
            <w:tcW w:w="1119" w:type="dxa"/>
            <w:tcBorders>
              <w:top w:val="single" w:sz="12" w:space="0" w:color="000000"/>
              <w:left w:val="single" w:sz="12" w:space="0" w:color="000000"/>
              <w:bottom w:val="single" w:sz="6" w:space="0" w:color="000000"/>
              <w:right w:val="single" w:sz="6" w:space="0" w:color="000000"/>
            </w:tcBorders>
          </w:tcPr>
          <w:p w:rsidR="002D26B1" w:rsidRDefault="002D26B1" w:rsidP="00415CDC">
            <w:pPr>
              <w:pStyle w:val="Table"/>
              <w:rPr>
                <w:b/>
              </w:rPr>
            </w:pPr>
            <w:r>
              <w:rPr>
                <w:b/>
              </w:rPr>
              <w:t>Region</w:t>
            </w:r>
          </w:p>
        </w:tc>
        <w:tc>
          <w:tcPr>
            <w:tcW w:w="1094"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ISS 0 - 15</w:t>
            </w:r>
          </w:p>
        </w:tc>
        <w:tc>
          <w:tcPr>
            <w:tcW w:w="992"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ISS &gt; 15</w:t>
            </w:r>
          </w:p>
        </w:tc>
        <w:tc>
          <w:tcPr>
            <w:tcW w:w="737" w:type="dxa"/>
            <w:tcBorders>
              <w:top w:val="single" w:sz="12" w:space="0" w:color="000000"/>
              <w:left w:val="single" w:sz="6" w:space="0" w:color="000000"/>
              <w:bottom w:val="single" w:sz="6" w:space="0" w:color="000000"/>
              <w:right w:val="single" w:sz="12" w:space="0" w:color="000000"/>
            </w:tcBorders>
          </w:tcPr>
          <w:p w:rsidR="002D26B1" w:rsidRDefault="002D26B1" w:rsidP="00415CDC">
            <w:pPr>
              <w:pStyle w:val="Table"/>
              <w:jc w:val="center"/>
              <w:rPr>
                <w:b/>
              </w:rPr>
            </w:pPr>
            <w:r>
              <w:rPr>
                <w:b/>
              </w:rPr>
              <w:t>Dead</w:t>
            </w:r>
          </w:p>
        </w:tc>
      </w:tr>
      <w:tr w:rsidR="002D26B1" w:rsidTr="00415CDC">
        <w:tblPrEx>
          <w:tblCellMar>
            <w:top w:w="0" w:type="dxa"/>
            <w:bottom w:w="0" w:type="dxa"/>
          </w:tblCellMar>
        </w:tblPrEx>
        <w:tc>
          <w:tcPr>
            <w:tcW w:w="1119" w:type="dxa"/>
            <w:tcBorders>
              <w:left w:val="single" w:sz="12" w:space="0" w:color="000000"/>
              <w:right w:val="single" w:sz="6" w:space="0" w:color="000000"/>
            </w:tcBorders>
          </w:tcPr>
          <w:p w:rsidR="002D26B1" w:rsidRDefault="002D26B1" w:rsidP="00415CDC">
            <w:pPr>
              <w:pStyle w:val="Table"/>
              <w:rPr>
                <w:b/>
              </w:rPr>
            </w:pPr>
            <w:r>
              <w:rPr>
                <w:b/>
              </w:rPr>
              <w:t>Head</w:t>
            </w:r>
          </w:p>
        </w:tc>
        <w:tc>
          <w:tcPr>
            <w:tcW w:w="1094" w:type="dxa"/>
            <w:tcBorders>
              <w:left w:val="single" w:sz="6" w:space="0" w:color="000000"/>
              <w:right w:val="single" w:sz="6" w:space="0" w:color="000000"/>
            </w:tcBorders>
          </w:tcPr>
          <w:p w:rsidR="002D26B1" w:rsidRDefault="002D26B1" w:rsidP="00415CDC">
            <w:pPr>
              <w:pStyle w:val="Table"/>
              <w:jc w:val="center"/>
            </w:pPr>
            <w:r>
              <w:t>900</w:t>
            </w:r>
          </w:p>
        </w:tc>
        <w:tc>
          <w:tcPr>
            <w:tcW w:w="992" w:type="dxa"/>
            <w:tcBorders>
              <w:left w:val="single" w:sz="6" w:space="0" w:color="000000"/>
              <w:right w:val="single" w:sz="6" w:space="0" w:color="000000"/>
            </w:tcBorders>
          </w:tcPr>
          <w:p w:rsidR="002D26B1" w:rsidRDefault="002D26B1" w:rsidP="00415CDC">
            <w:pPr>
              <w:pStyle w:val="Table"/>
              <w:jc w:val="center"/>
            </w:pPr>
            <w:r>
              <w:t>1 200</w:t>
            </w:r>
          </w:p>
        </w:tc>
        <w:tc>
          <w:tcPr>
            <w:tcW w:w="737" w:type="dxa"/>
            <w:tcBorders>
              <w:left w:val="single" w:sz="6" w:space="0" w:color="000000"/>
              <w:right w:val="single" w:sz="12" w:space="0" w:color="000000"/>
            </w:tcBorders>
          </w:tcPr>
          <w:p w:rsidR="002D26B1" w:rsidRDefault="002D26B1" w:rsidP="00415CDC">
            <w:pPr>
              <w:pStyle w:val="Table"/>
              <w:jc w:val="center"/>
            </w:pPr>
            <w:r>
              <w:t>1 200</w:t>
            </w:r>
          </w:p>
        </w:tc>
      </w:tr>
      <w:tr w:rsidR="002D26B1" w:rsidTr="00415CDC">
        <w:tblPrEx>
          <w:tblCellMar>
            <w:top w:w="0" w:type="dxa"/>
            <w:bottom w:w="0" w:type="dxa"/>
          </w:tblCellMar>
        </w:tblPrEx>
        <w:tc>
          <w:tcPr>
            <w:tcW w:w="1119" w:type="dxa"/>
            <w:tcBorders>
              <w:left w:val="single" w:sz="12" w:space="0" w:color="000000"/>
              <w:right w:val="single" w:sz="6" w:space="0" w:color="000000"/>
            </w:tcBorders>
          </w:tcPr>
          <w:p w:rsidR="002D26B1" w:rsidRDefault="002D26B1" w:rsidP="00415CDC">
            <w:pPr>
              <w:pStyle w:val="Table"/>
              <w:rPr>
                <w:b/>
              </w:rPr>
            </w:pPr>
            <w:r>
              <w:rPr>
                <w:b/>
              </w:rPr>
              <w:t>Trunk</w:t>
            </w:r>
          </w:p>
        </w:tc>
        <w:tc>
          <w:tcPr>
            <w:tcW w:w="1094" w:type="dxa"/>
            <w:tcBorders>
              <w:left w:val="single" w:sz="6" w:space="0" w:color="000000"/>
              <w:right w:val="single" w:sz="6" w:space="0" w:color="000000"/>
            </w:tcBorders>
          </w:tcPr>
          <w:p w:rsidR="002D26B1" w:rsidRDefault="002D26B1" w:rsidP="00415CDC">
            <w:pPr>
              <w:pStyle w:val="Table"/>
              <w:jc w:val="center"/>
            </w:pPr>
            <w:r>
              <w:t>1 200</w:t>
            </w:r>
          </w:p>
        </w:tc>
        <w:tc>
          <w:tcPr>
            <w:tcW w:w="992" w:type="dxa"/>
            <w:tcBorders>
              <w:left w:val="single" w:sz="6" w:space="0" w:color="000000"/>
              <w:right w:val="single" w:sz="6" w:space="0" w:color="000000"/>
            </w:tcBorders>
          </w:tcPr>
          <w:p w:rsidR="002D26B1" w:rsidRDefault="002D26B1" w:rsidP="00415CDC">
            <w:pPr>
              <w:pStyle w:val="Table"/>
              <w:jc w:val="center"/>
            </w:pPr>
            <w:r>
              <w:t>1 800</w:t>
            </w:r>
          </w:p>
        </w:tc>
        <w:tc>
          <w:tcPr>
            <w:tcW w:w="737" w:type="dxa"/>
            <w:tcBorders>
              <w:left w:val="single" w:sz="6" w:space="0" w:color="000000"/>
              <w:right w:val="single" w:sz="12" w:space="0" w:color="000000"/>
            </w:tcBorders>
          </w:tcPr>
          <w:p w:rsidR="002D26B1" w:rsidRDefault="002D26B1" w:rsidP="00415CDC">
            <w:pPr>
              <w:pStyle w:val="Table"/>
              <w:jc w:val="center"/>
            </w:pPr>
            <w:r>
              <w:t>4 350</w:t>
            </w:r>
          </w:p>
        </w:tc>
      </w:tr>
      <w:tr w:rsidR="002D26B1" w:rsidTr="00415CDC">
        <w:tblPrEx>
          <w:tblCellMar>
            <w:top w:w="0" w:type="dxa"/>
            <w:bottom w:w="0" w:type="dxa"/>
          </w:tblCellMar>
        </w:tblPrEx>
        <w:tc>
          <w:tcPr>
            <w:tcW w:w="1119" w:type="dxa"/>
            <w:tcBorders>
              <w:left w:val="single" w:sz="12" w:space="0" w:color="000000"/>
              <w:bottom w:val="single" w:sz="12" w:space="0" w:color="000000"/>
              <w:right w:val="single" w:sz="6" w:space="0" w:color="000000"/>
            </w:tcBorders>
          </w:tcPr>
          <w:p w:rsidR="002D26B1" w:rsidRDefault="002D26B1" w:rsidP="00415CDC">
            <w:pPr>
              <w:pStyle w:val="Table"/>
              <w:rPr>
                <w:b/>
              </w:rPr>
            </w:pPr>
            <w:r>
              <w:rPr>
                <w:b/>
              </w:rPr>
              <w:t>Extremity</w:t>
            </w:r>
          </w:p>
        </w:tc>
        <w:tc>
          <w:tcPr>
            <w:tcW w:w="1094" w:type="dxa"/>
            <w:tcBorders>
              <w:left w:val="single" w:sz="6" w:space="0" w:color="000000"/>
              <w:bottom w:val="single" w:sz="12" w:space="0" w:color="000000"/>
              <w:right w:val="single" w:sz="6" w:space="0" w:color="000000"/>
            </w:tcBorders>
          </w:tcPr>
          <w:p w:rsidR="002D26B1" w:rsidRDefault="002D26B1" w:rsidP="00415CDC">
            <w:pPr>
              <w:pStyle w:val="Table"/>
              <w:jc w:val="center"/>
            </w:pPr>
            <w:r>
              <w:t>1 050</w:t>
            </w:r>
          </w:p>
        </w:tc>
        <w:tc>
          <w:tcPr>
            <w:tcW w:w="992" w:type="dxa"/>
            <w:tcBorders>
              <w:left w:val="single" w:sz="6" w:space="0" w:color="000000"/>
              <w:bottom w:val="single" w:sz="12" w:space="0" w:color="000000"/>
              <w:right w:val="single" w:sz="6" w:space="0" w:color="000000"/>
            </w:tcBorders>
          </w:tcPr>
          <w:p w:rsidR="002D26B1" w:rsidRDefault="002D26B1" w:rsidP="00415CDC">
            <w:pPr>
              <w:pStyle w:val="Table"/>
              <w:jc w:val="center"/>
            </w:pPr>
            <w:r>
              <w:t>900</w:t>
            </w:r>
          </w:p>
        </w:tc>
        <w:tc>
          <w:tcPr>
            <w:tcW w:w="737" w:type="dxa"/>
            <w:tcBorders>
              <w:left w:val="single" w:sz="6" w:space="0" w:color="000000"/>
              <w:bottom w:val="single" w:sz="12" w:space="0" w:color="000000"/>
              <w:right w:val="single" w:sz="12" w:space="0" w:color="000000"/>
            </w:tcBorders>
          </w:tcPr>
          <w:p w:rsidR="002D26B1" w:rsidRDefault="002D26B1" w:rsidP="00415CDC">
            <w:pPr>
              <w:pStyle w:val="Table"/>
              <w:jc w:val="center"/>
            </w:pPr>
            <w:r>
              <w:t>0</w:t>
            </w:r>
          </w:p>
        </w:tc>
      </w:tr>
    </w:tbl>
    <w:p w:rsidR="002D26B1" w:rsidRDefault="002D26B1" w:rsidP="002D26B1">
      <w:pPr>
        <w:pStyle w:val="ArticlePara"/>
      </w:pPr>
    </w:p>
    <w:p w:rsidR="002D26B1" w:rsidRDefault="002D26B1" w:rsidP="002D26B1">
      <w:pPr>
        <w:pStyle w:val="ArticlePara"/>
      </w:pPr>
      <w:r>
        <w:lastRenderedPageBreak/>
        <w:t>The range of blood volume for each region in each category is shown in Table 4.</w:t>
      </w:r>
    </w:p>
    <w:p w:rsidR="002D26B1" w:rsidRDefault="002D26B1" w:rsidP="002D26B1">
      <w:pPr>
        <w:pStyle w:val="Caption"/>
        <w:jc w:val="left"/>
      </w:pPr>
      <w:r>
        <w:rPr>
          <w:b/>
        </w:rPr>
        <w:t>Table 4.</w:t>
      </w:r>
      <w:r>
        <w:t xml:space="preserve"> Range of blood volume (ml) tran</w:t>
      </w:r>
      <w:r>
        <w:t>s</w:t>
      </w:r>
      <w:r>
        <w:t>fused</w:t>
      </w:r>
    </w:p>
    <w:tbl>
      <w:tblPr>
        <w:tblW w:w="0" w:type="auto"/>
        <w:tblInd w:w="119" w:type="dxa"/>
        <w:tblLayout w:type="fixed"/>
        <w:tblCellMar>
          <w:left w:w="120" w:type="dxa"/>
          <w:right w:w="120" w:type="dxa"/>
        </w:tblCellMar>
        <w:tblLook w:val="00B7" w:firstRow="1" w:lastRow="0" w:firstColumn="1" w:lastColumn="0" w:noHBand="0" w:noVBand="0"/>
      </w:tblPr>
      <w:tblGrid>
        <w:gridCol w:w="1048"/>
        <w:gridCol w:w="1061"/>
        <w:gridCol w:w="1061"/>
        <w:gridCol w:w="1061"/>
      </w:tblGrid>
      <w:tr w:rsidR="002D26B1" w:rsidTr="00415CDC">
        <w:tblPrEx>
          <w:tblCellMar>
            <w:top w:w="0" w:type="dxa"/>
            <w:bottom w:w="0" w:type="dxa"/>
          </w:tblCellMar>
        </w:tblPrEx>
        <w:tc>
          <w:tcPr>
            <w:tcW w:w="1048" w:type="dxa"/>
            <w:tcBorders>
              <w:top w:val="single" w:sz="12" w:space="0" w:color="000000"/>
              <w:left w:val="single" w:sz="12" w:space="0" w:color="000000"/>
              <w:bottom w:val="single" w:sz="6" w:space="0" w:color="000000"/>
              <w:right w:val="single" w:sz="6" w:space="0" w:color="000000"/>
            </w:tcBorders>
          </w:tcPr>
          <w:p w:rsidR="002D26B1" w:rsidRDefault="002D26B1" w:rsidP="00415CDC">
            <w:pPr>
              <w:pStyle w:val="Table"/>
              <w:rPr>
                <w:b/>
              </w:rPr>
            </w:pPr>
            <w:r>
              <w:rPr>
                <w:b/>
              </w:rPr>
              <w:t>Region</w:t>
            </w:r>
          </w:p>
        </w:tc>
        <w:tc>
          <w:tcPr>
            <w:tcW w:w="1061"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ISS 0 - 15</w:t>
            </w:r>
          </w:p>
        </w:tc>
        <w:tc>
          <w:tcPr>
            <w:tcW w:w="1061"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ISS &gt; 15</w:t>
            </w:r>
          </w:p>
        </w:tc>
        <w:tc>
          <w:tcPr>
            <w:tcW w:w="1061" w:type="dxa"/>
            <w:tcBorders>
              <w:top w:val="single" w:sz="12" w:space="0" w:color="000000"/>
              <w:left w:val="single" w:sz="6" w:space="0" w:color="000000"/>
              <w:bottom w:val="single" w:sz="6" w:space="0" w:color="000000"/>
              <w:right w:val="single" w:sz="12" w:space="0" w:color="000000"/>
            </w:tcBorders>
          </w:tcPr>
          <w:p w:rsidR="002D26B1" w:rsidRDefault="002D26B1" w:rsidP="00415CDC">
            <w:pPr>
              <w:pStyle w:val="Table"/>
              <w:jc w:val="center"/>
              <w:rPr>
                <w:b/>
              </w:rPr>
            </w:pPr>
            <w:r>
              <w:rPr>
                <w:b/>
              </w:rPr>
              <w:t>Dead</w:t>
            </w:r>
          </w:p>
        </w:tc>
      </w:tr>
      <w:tr w:rsidR="002D26B1" w:rsidTr="00415CDC">
        <w:tblPrEx>
          <w:tblCellMar>
            <w:top w:w="0" w:type="dxa"/>
            <w:bottom w:w="0" w:type="dxa"/>
          </w:tblCellMar>
        </w:tblPrEx>
        <w:tc>
          <w:tcPr>
            <w:tcW w:w="1048" w:type="dxa"/>
            <w:tcBorders>
              <w:left w:val="single" w:sz="12" w:space="0" w:color="000000"/>
              <w:right w:val="single" w:sz="6" w:space="0" w:color="000000"/>
            </w:tcBorders>
          </w:tcPr>
          <w:p w:rsidR="002D26B1" w:rsidRDefault="002D26B1" w:rsidP="00415CDC">
            <w:pPr>
              <w:pStyle w:val="Table"/>
              <w:rPr>
                <w:b/>
              </w:rPr>
            </w:pPr>
            <w:r>
              <w:rPr>
                <w:b/>
              </w:rPr>
              <w:t>Head</w:t>
            </w:r>
          </w:p>
        </w:tc>
        <w:tc>
          <w:tcPr>
            <w:tcW w:w="1061" w:type="dxa"/>
            <w:tcBorders>
              <w:left w:val="single" w:sz="6" w:space="0" w:color="000000"/>
              <w:right w:val="single" w:sz="6" w:space="0" w:color="000000"/>
            </w:tcBorders>
          </w:tcPr>
          <w:p w:rsidR="002D26B1" w:rsidRDefault="002D26B1" w:rsidP="00415CDC">
            <w:pPr>
              <w:pStyle w:val="Table"/>
              <w:jc w:val="center"/>
            </w:pPr>
            <w:r>
              <w:t>600-</w:t>
            </w:r>
          </w:p>
          <w:p w:rsidR="002D26B1" w:rsidRDefault="002D26B1" w:rsidP="00415CDC">
            <w:pPr>
              <w:pStyle w:val="Table"/>
              <w:jc w:val="center"/>
            </w:pPr>
            <w:r>
              <w:t>3 004</w:t>
            </w:r>
          </w:p>
        </w:tc>
        <w:tc>
          <w:tcPr>
            <w:tcW w:w="1061" w:type="dxa"/>
            <w:tcBorders>
              <w:left w:val="single" w:sz="6" w:space="0" w:color="000000"/>
              <w:right w:val="single" w:sz="6" w:space="0" w:color="000000"/>
            </w:tcBorders>
          </w:tcPr>
          <w:p w:rsidR="002D26B1" w:rsidRDefault="002D26B1" w:rsidP="00415CDC">
            <w:pPr>
              <w:pStyle w:val="Table"/>
              <w:jc w:val="center"/>
            </w:pPr>
            <w:r>
              <w:t>300-</w:t>
            </w:r>
          </w:p>
          <w:p w:rsidR="002D26B1" w:rsidRDefault="002D26B1" w:rsidP="00415CDC">
            <w:pPr>
              <w:pStyle w:val="Table"/>
              <w:jc w:val="center"/>
            </w:pPr>
            <w:r>
              <w:t>4 804</w:t>
            </w:r>
          </w:p>
        </w:tc>
        <w:tc>
          <w:tcPr>
            <w:tcW w:w="1061" w:type="dxa"/>
            <w:tcBorders>
              <w:left w:val="single" w:sz="6" w:space="0" w:color="000000"/>
              <w:right w:val="single" w:sz="12" w:space="0" w:color="000000"/>
            </w:tcBorders>
          </w:tcPr>
          <w:p w:rsidR="002D26B1" w:rsidRDefault="002D26B1" w:rsidP="00415CDC">
            <w:pPr>
              <w:pStyle w:val="Table"/>
              <w:jc w:val="center"/>
            </w:pPr>
            <w:r>
              <w:t>300-60 000</w:t>
            </w:r>
          </w:p>
        </w:tc>
      </w:tr>
      <w:tr w:rsidR="002D26B1" w:rsidTr="00415CDC">
        <w:tblPrEx>
          <w:tblCellMar>
            <w:top w:w="0" w:type="dxa"/>
            <w:bottom w:w="0" w:type="dxa"/>
          </w:tblCellMar>
        </w:tblPrEx>
        <w:tc>
          <w:tcPr>
            <w:tcW w:w="1048" w:type="dxa"/>
            <w:tcBorders>
              <w:left w:val="single" w:sz="12" w:space="0" w:color="000000"/>
              <w:right w:val="single" w:sz="6" w:space="0" w:color="000000"/>
            </w:tcBorders>
          </w:tcPr>
          <w:p w:rsidR="002D26B1" w:rsidRDefault="002D26B1" w:rsidP="00415CDC">
            <w:pPr>
              <w:pStyle w:val="Table"/>
              <w:rPr>
                <w:b/>
              </w:rPr>
            </w:pPr>
            <w:r>
              <w:rPr>
                <w:b/>
              </w:rPr>
              <w:t>Trunk</w:t>
            </w:r>
          </w:p>
        </w:tc>
        <w:tc>
          <w:tcPr>
            <w:tcW w:w="1061" w:type="dxa"/>
            <w:tcBorders>
              <w:left w:val="single" w:sz="6" w:space="0" w:color="000000"/>
              <w:right w:val="single" w:sz="6" w:space="0" w:color="000000"/>
            </w:tcBorders>
          </w:tcPr>
          <w:p w:rsidR="002D26B1" w:rsidRDefault="002D26B1" w:rsidP="00415CDC">
            <w:pPr>
              <w:pStyle w:val="Table"/>
              <w:jc w:val="center"/>
            </w:pPr>
            <w:r>
              <w:t>300-14 770</w:t>
            </w:r>
          </w:p>
        </w:tc>
        <w:tc>
          <w:tcPr>
            <w:tcW w:w="1061" w:type="dxa"/>
            <w:tcBorders>
              <w:left w:val="single" w:sz="6" w:space="0" w:color="000000"/>
              <w:right w:val="single" w:sz="6" w:space="0" w:color="000000"/>
            </w:tcBorders>
          </w:tcPr>
          <w:p w:rsidR="002D26B1" w:rsidRDefault="002D26B1" w:rsidP="00415CDC">
            <w:pPr>
              <w:pStyle w:val="Table"/>
              <w:jc w:val="center"/>
            </w:pPr>
            <w:r>
              <w:t>300-30 202</w:t>
            </w:r>
          </w:p>
        </w:tc>
        <w:tc>
          <w:tcPr>
            <w:tcW w:w="1061" w:type="dxa"/>
            <w:tcBorders>
              <w:left w:val="single" w:sz="6" w:space="0" w:color="000000"/>
              <w:right w:val="single" w:sz="12" w:space="0" w:color="000000"/>
            </w:tcBorders>
          </w:tcPr>
          <w:p w:rsidR="002D26B1" w:rsidRDefault="002D26B1" w:rsidP="00415CDC">
            <w:pPr>
              <w:pStyle w:val="Table"/>
              <w:jc w:val="center"/>
            </w:pPr>
            <w:r>
              <w:t>300-57 454</w:t>
            </w:r>
          </w:p>
        </w:tc>
      </w:tr>
      <w:tr w:rsidR="002D26B1" w:rsidTr="00415CDC">
        <w:tblPrEx>
          <w:tblCellMar>
            <w:top w:w="0" w:type="dxa"/>
            <w:bottom w:w="0" w:type="dxa"/>
          </w:tblCellMar>
        </w:tblPrEx>
        <w:tc>
          <w:tcPr>
            <w:tcW w:w="1048" w:type="dxa"/>
            <w:tcBorders>
              <w:left w:val="single" w:sz="12" w:space="0" w:color="000000"/>
              <w:bottom w:val="single" w:sz="12" w:space="0" w:color="000000"/>
              <w:right w:val="single" w:sz="6" w:space="0" w:color="000000"/>
            </w:tcBorders>
          </w:tcPr>
          <w:p w:rsidR="002D26B1" w:rsidRDefault="002D26B1" w:rsidP="00415CDC">
            <w:pPr>
              <w:pStyle w:val="Table"/>
              <w:rPr>
                <w:b/>
              </w:rPr>
            </w:pPr>
            <w:r>
              <w:rPr>
                <w:b/>
              </w:rPr>
              <w:t>Extremity</w:t>
            </w:r>
          </w:p>
        </w:tc>
        <w:tc>
          <w:tcPr>
            <w:tcW w:w="1061" w:type="dxa"/>
            <w:tcBorders>
              <w:left w:val="single" w:sz="6" w:space="0" w:color="000000"/>
              <w:bottom w:val="single" w:sz="12" w:space="0" w:color="000000"/>
              <w:right w:val="single" w:sz="6" w:space="0" w:color="000000"/>
            </w:tcBorders>
          </w:tcPr>
          <w:p w:rsidR="002D26B1" w:rsidRDefault="002D26B1" w:rsidP="00415CDC">
            <w:pPr>
              <w:pStyle w:val="Table"/>
              <w:jc w:val="center"/>
            </w:pPr>
            <w:r>
              <w:t>600-</w:t>
            </w:r>
          </w:p>
          <w:p w:rsidR="002D26B1" w:rsidRDefault="002D26B1" w:rsidP="00415CDC">
            <w:pPr>
              <w:pStyle w:val="Table"/>
              <w:jc w:val="center"/>
            </w:pPr>
            <w:r>
              <w:t>7 204</w:t>
            </w:r>
          </w:p>
        </w:tc>
        <w:tc>
          <w:tcPr>
            <w:tcW w:w="1061" w:type="dxa"/>
            <w:tcBorders>
              <w:left w:val="single" w:sz="6" w:space="0" w:color="000000"/>
              <w:bottom w:val="single" w:sz="12" w:space="0" w:color="000000"/>
              <w:right w:val="single" w:sz="6" w:space="0" w:color="000000"/>
            </w:tcBorders>
          </w:tcPr>
          <w:p w:rsidR="002D26B1" w:rsidRDefault="002D26B1" w:rsidP="00415CDC">
            <w:pPr>
              <w:pStyle w:val="Table"/>
              <w:jc w:val="center"/>
            </w:pPr>
            <w:r>
              <w:t>300-</w:t>
            </w:r>
          </w:p>
          <w:p w:rsidR="002D26B1" w:rsidRDefault="002D26B1" w:rsidP="00415CDC">
            <w:pPr>
              <w:pStyle w:val="Table"/>
              <w:jc w:val="center"/>
            </w:pPr>
            <w:r>
              <w:t>6 060</w:t>
            </w:r>
          </w:p>
        </w:tc>
        <w:tc>
          <w:tcPr>
            <w:tcW w:w="1061" w:type="dxa"/>
            <w:tcBorders>
              <w:left w:val="single" w:sz="6" w:space="0" w:color="000000"/>
              <w:bottom w:val="single" w:sz="12" w:space="0" w:color="000000"/>
              <w:right w:val="single" w:sz="12" w:space="0" w:color="000000"/>
            </w:tcBorders>
          </w:tcPr>
          <w:p w:rsidR="002D26B1" w:rsidRDefault="002D26B1" w:rsidP="00415CDC">
            <w:pPr>
              <w:pStyle w:val="Table"/>
              <w:jc w:val="center"/>
            </w:pPr>
            <w:r>
              <w:t>0</w:t>
            </w:r>
          </w:p>
        </w:tc>
      </w:tr>
    </w:tbl>
    <w:p w:rsidR="002D26B1" w:rsidRDefault="002D26B1" w:rsidP="002D26B1">
      <w:pPr>
        <w:pStyle w:val="TableFootnote"/>
        <w:rPr>
          <w:sz w:val="16"/>
        </w:rPr>
      </w:pPr>
      <w:r>
        <w:rPr>
          <w:sz w:val="16"/>
        </w:rPr>
        <w:t>Numbers with fractions of 100 ml include fresh frozen plasma, but this has not been analysed sep</w:t>
      </w:r>
      <w:r>
        <w:rPr>
          <w:sz w:val="16"/>
        </w:rPr>
        <w:t>a</w:t>
      </w:r>
      <w:r>
        <w:rPr>
          <w:sz w:val="16"/>
        </w:rPr>
        <w:t>rately.</w:t>
      </w:r>
    </w:p>
    <w:p w:rsidR="002D26B1" w:rsidRDefault="002D26B1" w:rsidP="002D26B1">
      <w:pPr>
        <w:pStyle w:val="ArticleFirstPara"/>
      </w:pPr>
    </w:p>
    <w:p w:rsidR="002D26B1" w:rsidRDefault="002D26B1" w:rsidP="002D26B1">
      <w:pPr>
        <w:pStyle w:val="ArticlePara"/>
      </w:pPr>
      <w:r>
        <w:t>Total volume of blood transfused in each cat</w:t>
      </w:r>
      <w:r>
        <w:t>e</w:t>
      </w:r>
      <w:r>
        <w:t>gory of Table 3 is given in Table 5.</w:t>
      </w:r>
    </w:p>
    <w:p w:rsidR="002D26B1" w:rsidRDefault="002D26B1" w:rsidP="002D26B1">
      <w:pPr>
        <w:pStyle w:val="Caption"/>
        <w:ind w:left="0" w:firstLine="0"/>
        <w:jc w:val="left"/>
      </w:pPr>
      <w:r>
        <w:rPr>
          <w:b/>
        </w:rPr>
        <w:t>Table 5.</w:t>
      </w:r>
      <w:r>
        <w:t xml:space="preserve"> Total volumes (ml) transfused by region of injury, outcome and Injury Severity Score</w:t>
      </w:r>
      <w:r>
        <w:rPr>
          <w:vertAlign w:val="superscript"/>
        </w:rPr>
        <w:t>*</w:t>
      </w:r>
    </w:p>
    <w:tbl>
      <w:tblPr>
        <w:tblW w:w="0" w:type="auto"/>
        <w:tblInd w:w="119" w:type="dxa"/>
        <w:tblLayout w:type="fixed"/>
        <w:tblCellMar>
          <w:left w:w="120" w:type="dxa"/>
          <w:right w:w="120" w:type="dxa"/>
        </w:tblCellMar>
        <w:tblLook w:val="00B7" w:firstRow="1" w:lastRow="0" w:firstColumn="1" w:lastColumn="0" w:noHBand="0" w:noVBand="0"/>
      </w:tblPr>
      <w:tblGrid>
        <w:gridCol w:w="1119"/>
        <w:gridCol w:w="1094"/>
        <w:gridCol w:w="992"/>
        <w:gridCol w:w="915"/>
      </w:tblGrid>
      <w:tr w:rsidR="002D26B1" w:rsidTr="00415CDC">
        <w:tblPrEx>
          <w:tblCellMar>
            <w:top w:w="0" w:type="dxa"/>
            <w:bottom w:w="0" w:type="dxa"/>
          </w:tblCellMar>
        </w:tblPrEx>
        <w:tc>
          <w:tcPr>
            <w:tcW w:w="1119" w:type="dxa"/>
            <w:tcBorders>
              <w:top w:val="single" w:sz="12" w:space="0" w:color="000000"/>
              <w:left w:val="single" w:sz="12" w:space="0" w:color="000000"/>
              <w:bottom w:val="single" w:sz="6" w:space="0" w:color="000000"/>
              <w:right w:val="single" w:sz="6" w:space="0" w:color="000000"/>
            </w:tcBorders>
          </w:tcPr>
          <w:p w:rsidR="002D26B1" w:rsidRDefault="002D26B1" w:rsidP="00415CDC">
            <w:pPr>
              <w:pStyle w:val="Table"/>
              <w:rPr>
                <w:b/>
              </w:rPr>
            </w:pPr>
            <w:r>
              <w:rPr>
                <w:b/>
              </w:rPr>
              <w:t>Region</w:t>
            </w:r>
          </w:p>
        </w:tc>
        <w:tc>
          <w:tcPr>
            <w:tcW w:w="1094"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 xml:space="preserve">Alive </w:t>
            </w:r>
          </w:p>
          <w:p w:rsidR="002D26B1" w:rsidRDefault="002D26B1" w:rsidP="00415CDC">
            <w:pPr>
              <w:pStyle w:val="Table"/>
              <w:jc w:val="center"/>
              <w:rPr>
                <w:b/>
              </w:rPr>
            </w:pPr>
            <w:r>
              <w:rPr>
                <w:b/>
              </w:rPr>
              <w:t>ISS 0 - 15</w:t>
            </w:r>
          </w:p>
        </w:tc>
        <w:tc>
          <w:tcPr>
            <w:tcW w:w="992" w:type="dxa"/>
            <w:tcBorders>
              <w:top w:val="single" w:sz="12" w:space="0" w:color="000000"/>
              <w:left w:val="single" w:sz="6" w:space="0" w:color="000000"/>
              <w:bottom w:val="single" w:sz="6" w:space="0" w:color="000000"/>
              <w:right w:val="single" w:sz="6" w:space="0" w:color="000000"/>
            </w:tcBorders>
          </w:tcPr>
          <w:p w:rsidR="002D26B1" w:rsidRDefault="002D26B1" w:rsidP="00415CDC">
            <w:pPr>
              <w:pStyle w:val="Table"/>
              <w:jc w:val="center"/>
              <w:rPr>
                <w:b/>
              </w:rPr>
            </w:pPr>
            <w:r>
              <w:rPr>
                <w:b/>
              </w:rPr>
              <w:t xml:space="preserve">Alive </w:t>
            </w:r>
          </w:p>
          <w:p w:rsidR="002D26B1" w:rsidRDefault="002D26B1" w:rsidP="00415CDC">
            <w:pPr>
              <w:pStyle w:val="Table"/>
              <w:jc w:val="center"/>
              <w:rPr>
                <w:b/>
              </w:rPr>
            </w:pPr>
            <w:r>
              <w:rPr>
                <w:b/>
              </w:rPr>
              <w:t>ISS &gt; 15</w:t>
            </w:r>
          </w:p>
        </w:tc>
        <w:tc>
          <w:tcPr>
            <w:tcW w:w="915" w:type="dxa"/>
            <w:tcBorders>
              <w:top w:val="single" w:sz="12" w:space="0" w:color="000000"/>
              <w:left w:val="single" w:sz="6" w:space="0" w:color="000000"/>
              <w:bottom w:val="single" w:sz="6" w:space="0" w:color="000000"/>
              <w:right w:val="single" w:sz="12" w:space="0" w:color="000000"/>
            </w:tcBorders>
          </w:tcPr>
          <w:p w:rsidR="002D26B1" w:rsidRDefault="002D26B1" w:rsidP="00415CDC">
            <w:pPr>
              <w:pStyle w:val="Table"/>
              <w:jc w:val="center"/>
              <w:rPr>
                <w:b/>
              </w:rPr>
            </w:pPr>
            <w:r>
              <w:rPr>
                <w:b/>
              </w:rPr>
              <w:t>Dead</w:t>
            </w:r>
          </w:p>
        </w:tc>
      </w:tr>
      <w:tr w:rsidR="002D26B1" w:rsidTr="00415CDC">
        <w:tblPrEx>
          <w:tblCellMar>
            <w:top w:w="0" w:type="dxa"/>
            <w:bottom w:w="0" w:type="dxa"/>
          </w:tblCellMar>
        </w:tblPrEx>
        <w:tc>
          <w:tcPr>
            <w:tcW w:w="1119" w:type="dxa"/>
            <w:tcBorders>
              <w:left w:val="single" w:sz="12" w:space="0" w:color="000000"/>
              <w:right w:val="single" w:sz="6" w:space="0" w:color="000000"/>
            </w:tcBorders>
          </w:tcPr>
          <w:p w:rsidR="002D26B1" w:rsidRDefault="002D26B1" w:rsidP="00415CDC">
            <w:pPr>
              <w:pStyle w:val="Table"/>
              <w:rPr>
                <w:b/>
              </w:rPr>
            </w:pPr>
            <w:r>
              <w:rPr>
                <w:b/>
              </w:rPr>
              <w:t>Head</w:t>
            </w:r>
          </w:p>
        </w:tc>
        <w:tc>
          <w:tcPr>
            <w:tcW w:w="1094" w:type="dxa"/>
            <w:tcBorders>
              <w:left w:val="single" w:sz="6" w:space="0" w:color="000000"/>
              <w:right w:val="single" w:sz="6" w:space="0" w:color="000000"/>
            </w:tcBorders>
          </w:tcPr>
          <w:p w:rsidR="002D26B1" w:rsidRDefault="002D26B1" w:rsidP="00415CDC">
            <w:pPr>
              <w:pStyle w:val="Table"/>
              <w:jc w:val="center"/>
            </w:pPr>
            <w:r>
              <w:t>9 006</w:t>
            </w:r>
          </w:p>
        </w:tc>
        <w:tc>
          <w:tcPr>
            <w:tcW w:w="992" w:type="dxa"/>
            <w:tcBorders>
              <w:left w:val="single" w:sz="6" w:space="0" w:color="000000"/>
              <w:right w:val="single" w:sz="6" w:space="0" w:color="000000"/>
            </w:tcBorders>
          </w:tcPr>
          <w:p w:rsidR="002D26B1" w:rsidRDefault="002D26B1" w:rsidP="00415CDC">
            <w:pPr>
              <w:pStyle w:val="Table"/>
              <w:jc w:val="center"/>
            </w:pPr>
            <w:r>
              <w:t>20 724</w:t>
            </w:r>
          </w:p>
        </w:tc>
        <w:tc>
          <w:tcPr>
            <w:tcW w:w="915" w:type="dxa"/>
            <w:tcBorders>
              <w:left w:val="single" w:sz="6" w:space="0" w:color="000000"/>
              <w:right w:val="single" w:sz="12" w:space="0" w:color="000000"/>
            </w:tcBorders>
          </w:tcPr>
          <w:p w:rsidR="002D26B1" w:rsidRDefault="002D26B1" w:rsidP="00415CDC">
            <w:pPr>
              <w:pStyle w:val="Table"/>
              <w:jc w:val="center"/>
            </w:pPr>
            <w:r>
              <w:t>116 546</w:t>
            </w:r>
          </w:p>
        </w:tc>
      </w:tr>
      <w:tr w:rsidR="002D26B1" w:rsidTr="00415CDC">
        <w:tblPrEx>
          <w:tblCellMar>
            <w:top w:w="0" w:type="dxa"/>
            <w:bottom w:w="0" w:type="dxa"/>
          </w:tblCellMar>
        </w:tblPrEx>
        <w:tc>
          <w:tcPr>
            <w:tcW w:w="1119" w:type="dxa"/>
            <w:tcBorders>
              <w:left w:val="single" w:sz="12" w:space="0" w:color="000000"/>
              <w:right w:val="single" w:sz="6" w:space="0" w:color="000000"/>
            </w:tcBorders>
          </w:tcPr>
          <w:p w:rsidR="002D26B1" w:rsidRDefault="002D26B1" w:rsidP="00415CDC">
            <w:pPr>
              <w:pStyle w:val="Table"/>
              <w:rPr>
                <w:b/>
              </w:rPr>
            </w:pPr>
            <w:r>
              <w:rPr>
                <w:b/>
              </w:rPr>
              <w:t>Trunk</w:t>
            </w:r>
          </w:p>
        </w:tc>
        <w:tc>
          <w:tcPr>
            <w:tcW w:w="1094" w:type="dxa"/>
            <w:tcBorders>
              <w:left w:val="single" w:sz="6" w:space="0" w:color="000000"/>
              <w:right w:val="single" w:sz="6" w:space="0" w:color="000000"/>
            </w:tcBorders>
          </w:tcPr>
          <w:p w:rsidR="002D26B1" w:rsidRDefault="002D26B1" w:rsidP="00415CDC">
            <w:pPr>
              <w:pStyle w:val="Table"/>
              <w:jc w:val="center"/>
            </w:pPr>
            <w:r>
              <w:t>48 013</w:t>
            </w:r>
          </w:p>
        </w:tc>
        <w:tc>
          <w:tcPr>
            <w:tcW w:w="992" w:type="dxa"/>
            <w:tcBorders>
              <w:left w:val="single" w:sz="6" w:space="0" w:color="000000"/>
              <w:right w:val="single" w:sz="6" w:space="0" w:color="000000"/>
            </w:tcBorders>
          </w:tcPr>
          <w:p w:rsidR="002D26B1" w:rsidRDefault="002D26B1" w:rsidP="00415CDC">
            <w:pPr>
              <w:pStyle w:val="Table"/>
              <w:jc w:val="center"/>
            </w:pPr>
            <w:r>
              <w:t>177 769</w:t>
            </w:r>
          </w:p>
        </w:tc>
        <w:tc>
          <w:tcPr>
            <w:tcW w:w="915" w:type="dxa"/>
            <w:tcBorders>
              <w:left w:val="single" w:sz="6" w:space="0" w:color="000000"/>
              <w:right w:val="single" w:sz="12" w:space="0" w:color="000000"/>
            </w:tcBorders>
          </w:tcPr>
          <w:p w:rsidR="002D26B1" w:rsidRDefault="002D26B1" w:rsidP="00415CDC">
            <w:pPr>
              <w:pStyle w:val="Table"/>
              <w:jc w:val="center"/>
            </w:pPr>
            <w:r>
              <w:t>321 112</w:t>
            </w:r>
          </w:p>
        </w:tc>
      </w:tr>
      <w:tr w:rsidR="002D26B1" w:rsidTr="00415CDC">
        <w:tblPrEx>
          <w:tblCellMar>
            <w:top w:w="0" w:type="dxa"/>
            <w:bottom w:w="0" w:type="dxa"/>
          </w:tblCellMar>
        </w:tblPrEx>
        <w:tc>
          <w:tcPr>
            <w:tcW w:w="1119" w:type="dxa"/>
            <w:tcBorders>
              <w:left w:val="single" w:sz="12" w:space="0" w:color="000000"/>
              <w:bottom w:val="single" w:sz="12" w:space="0" w:color="000000"/>
              <w:right w:val="single" w:sz="6" w:space="0" w:color="000000"/>
            </w:tcBorders>
          </w:tcPr>
          <w:p w:rsidR="002D26B1" w:rsidRDefault="002D26B1" w:rsidP="00415CDC">
            <w:pPr>
              <w:pStyle w:val="Table"/>
              <w:rPr>
                <w:b/>
              </w:rPr>
            </w:pPr>
            <w:r>
              <w:rPr>
                <w:b/>
              </w:rPr>
              <w:t>Extremity</w:t>
            </w:r>
          </w:p>
        </w:tc>
        <w:tc>
          <w:tcPr>
            <w:tcW w:w="1094" w:type="dxa"/>
            <w:tcBorders>
              <w:left w:val="single" w:sz="6" w:space="0" w:color="000000"/>
              <w:bottom w:val="single" w:sz="12" w:space="0" w:color="000000"/>
              <w:right w:val="single" w:sz="6" w:space="0" w:color="000000"/>
            </w:tcBorders>
          </w:tcPr>
          <w:p w:rsidR="002D26B1" w:rsidRDefault="002D26B1" w:rsidP="00415CDC">
            <w:pPr>
              <w:pStyle w:val="Table"/>
              <w:jc w:val="center"/>
            </w:pPr>
            <w:r>
              <w:t>21 309</w:t>
            </w:r>
          </w:p>
        </w:tc>
        <w:tc>
          <w:tcPr>
            <w:tcW w:w="992" w:type="dxa"/>
            <w:tcBorders>
              <w:left w:val="single" w:sz="6" w:space="0" w:color="000000"/>
              <w:bottom w:val="single" w:sz="12" w:space="0" w:color="000000"/>
              <w:right w:val="single" w:sz="6" w:space="0" w:color="000000"/>
            </w:tcBorders>
          </w:tcPr>
          <w:p w:rsidR="002D26B1" w:rsidRDefault="002D26B1" w:rsidP="00415CDC">
            <w:pPr>
              <w:pStyle w:val="Table"/>
              <w:jc w:val="center"/>
            </w:pPr>
            <w:r>
              <w:t>7 260</w:t>
            </w:r>
          </w:p>
        </w:tc>
        <w:tc>
          <w:tcPr>
            <w:tcW w:w="915" w:type="dxa"/>
            <w:tcBorders>
              <w:left w:val="single" w:sz="6" w:space="0" w:color="000000"/>
              <w:bottom w:val="single" w:sz="12" w:space="0" w:color="000000"/>
              <w:right w:val="single" w:sz="12" w:space="0" w:color="000000"/>
            </w:tcBorders>
          </w:tcPr>
          <w:p w:rsidR="002D26B1" w:rsidRDefault="002D26B1" w:rsidP="00415CDC">
            <w:pPr>
              <w:pStyle w:val="Table"/>
              <w:jc w:val="center"/>
            </w:pPr>
            <w:r>
              <w:t>0</w:t>
            </w:r>
          </w:p>
        </w:tc>
      </w:tr>
    </w:tbl>
    <w:p w:rsidR="002D26B1" w:rsidRDefault="002D26B1" w:rsidP="002D26B1">
      <w:pPr>
        <w:pStyle w:val="Table"/>
        <w:rPr>
          <w:rFonts w:ascii="Arial" w:hAnsi="Arial"/>
          <w:sz w:val="16"/>
        </w:rPr>
      </w:pPr>
      <w:r>
        <w:rPr>
          <w:rFonts w:ascii="Arial" w:hAnsi="Arial"/>
          <w:sz w:val="16"/>
          <w:vertAlign w:val="superscript"/>
        </w:rPr>
        <w:t>*</w:t>
      </w:r>
      <w:r>
        <w:rPr>
          <w:rFonts w:ascii="Arial" w:hAnsi="Arial"/>
          <w:sz w:val="16"/>
        </w:rPr>
        <w:t xml:space="preserve"> </w:t>
      </w:r>
      <w:r>
        <w:rPr>
          <w:rFonts w:ascii="Arial" w:hAnsi="Arial"/>
          <w:sz w:val="16"/>
        </w:rPr>
        <w:tab/>
        <w:t>Total 721 739 ml or 2,406 units</w:t>
      </w:r>
    </w:p>
    <w:p w:rsidR="002D26B1" w:rsidRDefault="002D26B1" w:rsidP="002D26B1">
      <w:pPr>
        <w:pStyle w:val="ArticlePara"/>
      </w:pPr>
    </w:p>
    <w:p w:rsidR="002D26B1" w:rsidRDefault="002D26B1" w:rsidP="002D26B1">
      <w:pPr>
        <w:pStyle w:val="ArticlePara"/>
      </w:pPr>
      <w:r>
        <w:t>The statistics are displayed graphically in Figure 1 which gives the volume (ml) tran</w:t>
      </w:r>
      <w:r>
        <w:t>s</w:t>
      </w:r>
      <w:r>
        <w:t>fused by the numbers of patients in each region, the total number of patients receiving transf</w:t>
      </w:r>
      <w:r>
        <w:t>u</w:t>
      </w:r>
      <w:r>
        <w:t>sions being 194, which represents 42, 135 and 17 p</w:t>
      </w:r>
      <w:r>
        <w:t>a</w:t>
      </w:r>
      <w:r>
        <w:t>tients with head, trunk and extremity GSW r</w:t>
      </w:r>
      <w:r>
        <w:t>e</w:t>
      </w:r>
      <w:r>
        <w:t>spectively. The frequency distribution curves show considerable skewness in each r</w:t>
      </w:r>
      <w:r>
        <w:t>e</w:t>
      </w:r>
      <w:r>
        <w:t>gion. The mode, however, was 600 ml for each region.</w:t>
      </w:r>
    </w:p>
    <w:p w:rsidR="002D26B1" w:rsidRDefault="002D26B1" w:rsidP="002D26B1">
      <w:pPr>
        <w:pStyle w:val="ArticlePara"/>
      </w:pPr>
      <w:r>
        <w:t>Among outlier survivors there were none with head injury. There were one and eight with trunk wounds whose injury severity score was less or greater than 15 respectively. There were two outlier survivors with wounds of the extre</w:t>
      </w:r>
      <w:r>
        <w:t>m</w:t>
      </w:r>
      <w:r>
        <w:t>ities in each injury severity category.  Among d</w:t>
      </w:r>
      <w:r>
        <w:t>e</w:t>
      </w:r>
      <w:r>
        <w:t>ceased outliers there were 4 and 21 patients with head and trunk GSW. The total blood transfusion requirement of the 36 outliers was 452 litres or 1 509 units.</w:t>
      </w:r>
    </w:p>
    <w:p w:rsidR="002D26B1" w:rsidRDefault="002D26B1" w:rsidP="002D26B1">
      <w:pPr>
        <w:pStyle w:val="ArticlePara"/>
      </w:pPr>
      <w:r>
        <w:t>Recalculation of total regional volumes in wartime proportions would realise 86 litres, 217 litres and 124 litres for head, trunk and extrem</w:t>
      </w:r>
      <w:r>
        <w:t>i</w:t>
      </w:r>
      <w:r>
        <w:t>ties or a total of 428 litres representing 1 427 units. If outliers were excluded from each region estimates would be revised downwards to 36, 79 and 15 litres for head, trunk and extremities r</w:t>
      </w:r>
      <w:r>
        <w:t>e</w:t>
      </w:r>
      <w:r>
        <w:t>spectively. The revised total r</w:t>
      </w:r>
      <w:r>
        <w:t>e</w:t>
      </w:r>
      <w:r>
        <w:t>quirements would become 131 litres or 435 units.</w:t>
      </w:r>
    </w:p>
    <w:p w:rsidR="002D26B1" w:rsidRDefault="002D26B1" w:rsidP="002D26B1">
      <w:pPr>
        <w:pStyle w:val="ArticleHeading"/>
      </w:pPr>
      <w:r>
        <w:t>Discussion</w:t>
      </w:r>
    </w:p>
    <w:p w:rsidR="002D26B1" w:rsidRDefault="002D26B1" w:rsidP="002D26B1">
      <w:pPr>
        <w:pStyle w:val="ArticleFirstPara"/>
      </w:pPr>
      <w:r>
        <w:t>It is quite obvious that in addition to consider</w:t>
      </w:r>
      <w:r>
        <w:t>a</w:t>
      </w:r>
      <w:r>
        <w:t>ble mortality, morbidity and cost, therapy for gunshot wounds is accompanied by a consider</w:t>
      </w:r>
      <w:r>
        <w:t>a</w:t>
      </w:r>
      <w:r>
        <w:t>ble consumption of blood and blood products.</w:t>
      </w:r>
      <w:proofErr w:type="gramStart"/>
      <w:r>
        <w:rPr>
          <w:vertAlign w:val="superscript"/>
        </w:rPr>
        <w:t>5</w:t>
      </w:r>
      <w:r>
        <w:t xml:space="preserve">  It</w:t>
      </w:r>
      <w:proofErr w:type="gramEnd"/>
      <w:r>
        <w:t xml:space="preserve"> should also be stressed, however, that the vast majority of patients (776) in this study were not transfused at all.</w:t>
      </w:r>
    </w:p>
    <w:p w:rsidR="002D26B1" w:rsidRDefault="002D26B1" w:rsidP="002D26B1">
      <w:pPr>
        <w:pStyle w:val="ArticlePara"/>
      </w:pPr>
      <w:r>
        <w:t>Patient outcome could be clearly related to injury severity.  Injury severity and mortality could also be seen to influence the volume of</w:t>
      </w:r>
      <w:r>
        <w:t xml:space="preserve"> </w:t>
      </w:r>
      <w:r>
        <w:t>blood transfusion. There were expected regional differences in transfusion volume. Severely head-injured patients were not transfused as frequently as those with trunk and extremity wounds, presumably because their problem was increased intracranial pressure rather than i</w:t>
      </w:r>
      <w:r>
        <w:t>n</w:t>
      </w:r>
      <w:r>
        <w:t>tracranial bleeding. On the other hand, parapl</w:t>
      </w:r>
      <w:r>
        <w:t>e</w:t>
      </w:r>
      <w:r>
        <w:t>gic patients were transfused with equal freque</w:t>
      </w:r>
      <w:r>
        <w:t>n</w:t>
      </w:r>
      <w:r>
        <w:t>cy in each severity group because of hypovola</w:t>
      </w:r>
      <w:r>
        <w:t>e</w:t>
      </w:r>
      <w:r>
        <w:t>mia caused by spinal shock. Patients with severe trunk injuries bled more because of injuries to the cardiovascular system and no acco</w:t>
      </w:r>
      <w:r>
        <w:t>m</w:t>
      </w:r>
      <w:r>
        <w:t>panying tamponade. Massive bleeding occurred in all r</w:t>
      </w:r>
      <w:r>
        <w:t>e</w:t>
      </w:r>
      <w:r>
        <w:t>gions. Patients with extremity wounds who lose their total blood volume are as much at risk of coagulopathy as any patient in similar circu</w:t>
      </w:r>
      <w:r>
        <w:t>m</w:t>
      </w:r>
      <w:r>
        <w:t>stances. The reason that blood transf</w:t>
      </w:r>
      <w:r>
        <w:t>u</w:t>
      </w:r>
      <w:r>
        <w:t>sion was not universal in deceased patients was usually that they were moribund on arrival, not respon</w:t>
      </w:r>
      <w:r>
        <w:t>d</w:t>
      </w:r>
      <w:r>
        <w:t>ing to any volume expansion, rendering transf</w:t>
      </w:r>
      <w:r>
        <w:t>u</w:t>
      </w:r>
      <w:r>
        <w:t>sion futile.</w:t>
      </w:r>
    </w:p>
    <w:p w:rsidR="002D26B1" w:rsidRDefault="002D26B1" w:rsidP="002D26B1">
      <w:pPr>
        <w:framePr w:w="8329" w:h="3691" w:hSpace="181" w:vSpace="147" w:wrap="around" w:hAnchor="page" w:x="880" w:yAlign="top"/>
      </w:pPr>
      <w:r>
        <w:object w:dxaOrig="7569" w:dyaOrig="47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8.75pt;height:236.25pt" o:ole="">
            <v:imagedata r:id="rId11" o:title=""/>
          </v:shape>
          <o:OLEObject Type="Embed" ProgID="Word.Document.8" ShapeID="_x0000_i1036" DrawAspect="Content" ObjectID="_1586849558" r:id="rId12"/>
        </w:object>
      </w:r>
    </w:p>
    <w:p w:rsidR="002D26B1" w:rsidRDefault="002D26B1" w:rsidP="002D26B1">
      <w:pPr>
        <w:framePr w:w="8329" w:h="3691" w:hSpace="181" w:vSpace="147" w:wrap="around" w:hAnchor="page" w:x="880" w:yAlign="top"/>
      </w:pPr>
      <w:r>
        <w:rPr>
          <w:b/>
          <w:i/>
        </w:rPr>
        <w:t xml:space="preserve">Figure 1. </w:t>
      </w:r>
      <w:r>
        <w:rPr>
          <w:i/>
        </w:rPr>
        <w:t>Frequency distribution of blood tran</w:t>
      </w:r>
      <w:r>
        <w:rPr>
          <w:i/>
        </w:rPr>
        <w:t>s</w:t>
      </w:r>
      <w:r>
        <w:rPr>
          <w:i/>
        </w:rPr>
        <w:t>fusion volume by region of injury</w:t>
      </w:r>
    </w:p>
    <w:p w:rsidR="002D26B1" w:rsidRDefault="002D26B1" w:rsidP="002D26B1">
      <w:pPr>
        <w:pStyle w:val="ArticlePara"/>
      </w:pPr>
    </w:p>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 w:rsidR="002D26B1" w:rsidRDefault="002D26B1" w:rsidP="002D26B1">
      <w:pPr>
        <w:pStyle w:val="ArticlePara"/>
      </w:pPr>
      <w:r>
        <w:t xml:space="preserve">The reason 5 litres </w:t>
      </w:r>
      <w:proofErr w:type="gramStart"/>
      <w:r>
        <w:t>was</w:t>
      </w:r>
      <w:proofErr w:type="gramEnd"/>
      <w:r>
        <w:t xml:space="preserve"> selected for outl</w:t>
      </w:r>
      <w:r>
        <w:t>i</w:t>
      </w:r>
      <w:r>
        <w:t>er classification was that in each region the m</w:t>
      </w:r>
      <w:r>
        <w:t>a</w:t>
      </w:r>
      <w:r>
        <w:t>jor distribution curve in Figure 1 would i</w:t>
      </w:r>
      <w:r>
        <w:t>n</w:t>
      </w:r>
      <w:r>
        <w:t>tersect the abscissa at that volume. Outlier volumes were required because of coagulopathy and h</w:t>
      </w:r>
      <w:r>
        <w:t>y</w:t>
      </w:r>
      <w:r>
        <w:t xml:space="preserve">pothermia; both occurred in </w:t>
      </w:r>
      <w:proofErr w:type="gramStart"/>
      <w:r>
        <w:t>the majority of</w:t>
      </w:r>
      <w:proofErr w:type="gramEnd"/>
      <w:r>
        <w:t xml:space="preserve"> fatal cases. The magnitude of both problems has been reduced with the use of the Level 1 infuser.</w:t>
      </w:r>
      <w:r>
        <w:rPr>
          <w:vertAlign w:val="superscript"/>
        </w:rPr>
        <w:t>7</w:t>
      </w:r>
      <w:r>
        <w:t xml:space="preserve"> In wartime, however, many of these p</w:t>
      </w:r>
      <w:r>
        <w:t>a</w:t>
      </w:r>
      <w:r>
        <w:t>tients would die in the field. Field conditions and the location and magnitude of medical m</w:t>
      </w:r>
      <w:r>
        <w:t>a</w:t>
      </w:r>
      <w:r>
        <w:t>teriel and support could be factored into supply estimates if a flex</w:t>
      </w:r>
      <w:r>
        <w:t>i</w:t>
      </w:r>
      <w:r>
        <w:t>ble supply model was deve</w:t>
      </w:r>
      <w:r>
        <w:t>l</w:t>
      </w:r>
      <w:r>
        <w:t>oped.</w:t>
      </w:r>
    </w:p>
    <w:p w:rsidR="002D26B1" w:rsidRDefault="002D26B1" w:rsidP="002D26B1">
      <w:pPr>
        <w:pStyle w:val="ArticlePara"/>
      </w:pPr>
      <w:r>
        <w:t>It is quite apparent from study of the shape of the regional volume curves in Figure 1 that the rapid control of haemorrhage is acco</w:t>
      </w:r>
      <w:r>
        <w:t>m</w:t>
      </w:r>
      <w:r>
        <w:t>panied by a good prognosis. This is supported by the outcome data which show a low mortality in patients not transfused (or not bleeding).  Tim</w:t>
      </w:r>
      <w:r>
        <w:t>e</w:t>
      </w:r>
      <w:r>
        <w:t>lines and injury severity and region, therefore, are the major outcome factors, whereas timing and control of bleeding ultimately d</w:t>
      </w:r>
      <w:r>
        <w:t>e</w:t>
      </w:r>
      <w:r>
        <w:t>termine the final transfusion requirements.</w:t>
      </w:r>
    </w:p>
    <w:p w:rsidR="002D26B1" w:rsidRDefault="002D26B1" w:rsidP="002D26B1">
      <w:pPr>
        <w:pStyle w:val="ArticlePara"/>
      </w:pPr>
      <w:r>
        <w:t xml:space="preserve">There was a congruence between regions in the most common volume of blood transfused, being 600 ml or 2 units of packed cells. It was likely that this reflected a responsible attitude on the behalf of staff: to the community in the use of a scarce resource; and to the patients in minimising side-effects </w:t>
      </w:r>
      <w:r>
        <w:lastRenderedPageBreak/>
        <w:t>related to the therapy.  It also supports the contention that in each r</w:t>
      </w:r>
      <w:r>
        <w:t>e</w:t>
      </w:r>
      <w:r>
        <w:t xml:space="preserve">gion bleeding has the same biological behaviour and the same potential for control.  </w:t>
      </w:r>
    </w:p>
    <w:p w:rsidR="002D26B1" w:rsidRDefault="002D26B1" w:rsidP="002D26B1">
      <w:pPr>
        <w:pStyle w:val="ArticlePara"/>
      </w:pPr>
      <w:r>
        <w:t>Because of the common mode and the striking similarity in the shape of the regional volume/frequency distribution, we feel that this data can be translated to any similar situation involving GSW trauma. This justifies calcul</w:t>
      </w:r>
      <w:r>
        <w:t>a</w:t>
      </w:r>
      <w:r>
        <w:t>tion of volume estimates relevant to civilian or mil</w:t>
      </w:r>
      <w:r>
        <w:t>i</w:t>
      </w:r>
      <w:r>
        <w:t xml:space="preserve">tary situations, </w:t>
      </w:r>
      <w:proofErr w:type="gramStart"/>
      <w:r>
        <w:t>in spite of</w:t>
      </w:r>
      <w:proofErr w:type="gramEnd"/>
      <w:r>
        <w:t xml:space="preserve"> the obvious di</w:t>
      </w:r>
      <w:r>
        <w:t>f</w:t>
      </w:r>
      <w:r>
        <w:t>ference in wounding and the use of helmets and body armour.</w:t>
      </w:r>
    </w:p>
    <w:p w:rsidR="002D26B1" w:rsidRDefault="002D26B1" w:rsidP="002D26B1">
      <w:pPr>
        <w:pStyle w:val="ArticlePara"/>
      </w:pPr>
      <w:r>
        <w:t>In a report which included 279 laparot</w:t>
      </w:r>
      <w:r>
        <w:t>o</w:t>
      </w:r>
      <w:r>
        <w:t xml:space="preserve">mies from the Second Surgical Hospital (Mobile Army), Lai </w:t>
      </w:r>
      <w:proofErr w:type="spellStart"/>
      <w:r>
        <w:t>Khe</w:t>
      </w:r>
      <w:proofErr w:type="spellEnd"/>
      <w:r>
        <w:t xml:space="preserve"> in Vietnam, Byerly and </w:t>
      </w:r>
      <w:proofErr w:type="spellStart"/>
      <w:r>
        <w:t>Pendse</w:t>
      </w:r>
      <w:proofErr w:type="spellEnd"/>
      <w:r>
        <w:t xml:space="preserve"> state</w:t>
      </w:r>
      <w:proofErr w:type="gramStart"/>
      <w:r>
        <w:t>:  “</w:t>
      </w:r>
      <w:proofErr w:type="gramEnd"/>
      <w:r>
        <w:t>The hepatectomies were gene</w:t>
      </w:r>
      <w:r>
        <w:t>r</w:t>
      </w:r>
      <w:r>
        <w:t xml:space="preserve">ally large </w:t>
      </w:r>
      <w:proofErr w:type="spellStart"/>
      <w:r>
        <w:t>debridements</w:t>
      </w:r>
      <w:proofErr w:type="spellEnd"/>
      <w:r>
        <w:t>, using every available technique to control the bleeding. Only the availability of large amounts of blood made these operations anywhere near feasible”.</w:t>
      </w:r>
      <w:r>
        <w:rPr>
          <w:vertAlign w:val="superscript"/>
        </w:rPr>
        <w:t>8</w:t>
      </w:r>
      <w:r>
        <w:rPr>
          <w:rStyle w:val="FootnoteReference"/>
        </w:rPr>
        <w:t xml:space="preserve"> </w:t>
      </w:r>
      <w:r>
        <w:t>Major operations, therefore, can be performed during warfare providing that the triage and blood supply are favourable. Military blood volume estimates would, however, be lower than civilian requir</w:t>
      </w:r>
      <w:r>
        <w:t>e</w:t>
      </w:r>
      <w:r>
        <w:t>ments.</w:t>
      </w:r>
    </w:p>
    <w:p w:rsidR="002D26B1" w:rsidRDefault="002D26B1" w:rsidP="002D26B1"/>
    <w:p w:rsidR="002D26B1" w:rsidRDefault="002D26B1" w:rsidP="002D26B1">
      <w:pPr>
        <w:pStyle w:val="ReferenceHeading"/>
      </w:pPr>
      <w:r>
        <w:t>References</w:t>
      </w:r>
    </w:p>
    <w:p w:rsidR="002D26B1" w:rsidRDefault="002D26B1" w:rsidP="002D26B1">
      <w:pPr>
        <w:pStyle w:val="References"/>
        <w:numPr>
          <w:ilvl w:val="0"/>
          <w:numId w:val="1"/>
        </w:numPr>
        <w:ind w:left="284" w:hanging="284"/>
      </w:pPr>
      <w:r>
        <w:t xml:space="preserve">Schreiber GB, Busch MP, Kleinman SH, </w:t>
      </w:r>
      <w:proofErr w:type="spellStart"/>
      <w:r>
        <w:t>Korelitz</w:t>
      </w:r>
      <w:proofErr w:type="spellEnd"/>
      <w:r>
        <w:t xml:space="preserve"> JJ. The risk of transfusion related viral infections. </w:t>
      </w:r>
      <w:r>
        <w:rPr>
          <w:i/>
        </w:rPr>
        <w:t xml:space="preserve">N </w:t>
      </w:r>
      <w:proofErr w:type="spellStart"/>
      <w:r>
        <w:rPr>
          <w:i/>
        </w:rPr>
        <w:t>Engl</w:t>
      </w:r>
      <w:proofErr w:type="spellEnd"/>
      <w:r>
        <w:rPr>
          <w:i/>
        </w:rPr>
        <w:t xml:space="preserve"> J Med</w:t>
      </w:r>
      <w:r>
        <w:t xml:space="preserve"> 1996; 334:1685-90.</w:t>
      </w:r>
    </w:p>
    <w:p w:rsidR="002D26B1" w:rsidRDefault="002D26B1" w:rsidP="002D26B1">
      <w:pPr>
        <w:pStyle w:val="References"/>
        <w:numPr>
          <w:ilvl w:val="0"/>
          <w:numId w:val="1"/>
        </w:numPr>
        <w:ind w:left="284" w:hanging="284"/>
      </w:pPr>
      <w:r>
        <w:t xml:space="preserve">McCaughey BG, Carey LC, Garrick J, Kelley JB.  Naval Support Activity Hospital </w:t>
      </w:r>
      <w:proofErr w:type="gramStart"/>
      <w:r>
        <w:t>Da</w:t>
      </w:r>
      <w:proofErr w:type="gramEnd"/>
      <w:r>
        <w:t xml:space="preserve"> Nang combat casualty deaths January to June 1968. </w:t>
      </w:r>
      <w:r>
        <w:rPr>
          <w:i/>
        </w:rPr>
        <w:t>Mil Med</w:t>
      </w:r>
      <w:r>
        <w:t xml:space="preserve"> 1987; 152:284-9.</w:t>
      </w:r>
    </w:p>
    <w:p w:rsidR="002D26B1" w:rsidRDefault="002D26B1" w:rsidP="002D26B1">
      <w:pPr>
        <w:pStyle w:val="References"/>
        <w:numPr>
          <w:ilvl w:val="0"/>
          <w:numId w:val="1"/>
        </w:numPr>
        <w:ind w:left="284" w:hanging="284"/>
      </w:pPr>
      <w:proofErr w:type="spellStart"/>
      <w:r>
        <w:t>Burkle</w:t>
      </w:r>
      <w:proofErr w:type="spellEnd"/>
      <w:r>
        <w:t xml:space="preserve"> FM, Newland C, </w:t>
      </w:r>
      <w:proofErr w:type="spellStart"/>
      <w:r>
        <w:t>Orebaugh</w:t>
      </w:r>
      <w:proofErr w:type="spellEnd"/>
      <w:r>
        <w:t xml:space="preserve"> S, Blood CG.  Emergency Medicine in the Persian Gulf War - Part 2:  Triage methodology and lessons learned. </w:t>
      </w:r>
      <w:r>
        <w:rPr>
          <w:i/>
        </w:rPr>
        <w:t xml:space="preserve">Ann </w:t>
      </w:r>
      <w:proofErr w:type="spellStart"/>
      <w:r>
        <w:rPr>
          <w:i/>
        </w:rPr>
        <w:t>Emerg</w:t>
      </w:r>
      <w:proofErr w:type="spellEnd"/>
      <w:r>
        <w:rPr>
          <w:i/>
        </w:rPr>
        <w:t xml:space="preserve"> Med</w:t>
      </w:r>
      <w:r>
        <w:t xml:space="preserve"> 1994; 23:748-54.</w:t>
      </w:r>
    </w:p>
    <w:p w:rsidR="002D26B1" w:rsidRDefault="002D26B1" w:rsidP="002D26B1">
      <w:pPr>
        <w:pStyle w:val="References"/>
        <w:numPr>
          <w:ilvl w:val="0"/>
          <w:numId w:val="1"/>
        </w:numPr>
        <w:ind w:left="284" w:hanging="284"/>
      </w:pPr>
      <w:proofErr w:type="spellStart"/>
      <w:r>
        <w:t>Bowerson</w:t>
      </w:r>
      <w:proofErr w:type="spellEnd"/>
      <w:r>
        <w:t xml:space="preserve"> JC. Data-based resource planning for battlefield trauma management. </w:t>
      </w:r>
      <w:r>
        <w:rPr>
          <w:i/>
        </w:rPr>
        <w:t>Mil Med</w:t>
      </w:r>
      <w:r>
        <w:t xml:space="preserve"> 1991; 156:300-5.</w:t>
      </w:r>
    </w:p>
    <w:p w:rsidR="002D26B1" w:rsidRDefault="002D26B1" w:rsidP="002D26B1">
      <w:pPr>
        <w:pStyle w:val="References"/>
        <w:numPr>
          <w:ilvl w:val="0"/>
          <w:numId w:val="1"/>
        </w:numPr>
        <w:ind w:left="284" w:hanging="284"/>
      </w:pPr>
      <w:r>
        <w:t xml:space="preserve">Payne JE, Berne TV, Kaufman RL, </w:t>
      </w:r>
      <w:proofErr w:type="spellStart"/>
      <w:r>
        <w:t>Dubrowskij</w:t>
      </w:r>
      <w:proofErr w:type="spellEnd"/>
      <w:r>
        <w:t xml:space="preserve"> R. Outcome of treatment of 686 gunshot wounds of the trunk at Los Angeles County-USC Medical </w:t>
      </w:r>
      <w:proofErr w:type="spellStart"/>
      <w:r>
        <w:t>Center</w:t>
      </w:r>
      <w:proofErr w:type="spellEnd"/>
      <w:r>
        <w:t xml:space="preserve">:  Implications for the community. </w:t>
      </w:r>
      <w:r>
        <w:rPr>
          <w:i/>
        </w:rPr>
        <w:t>J Trauma</w:t>
      </w:r>
      <w:r>
        <w:t xml:space="preserve"> 1993; 34Z:276-281.</w:t>
      </w:r>
    </w:p>
    <w:p w:rsidR="002D26B1" w:rsidRDefault="002D26B1" w:rsidP="002D26B1">
      <w:pPr>
        <w:pStyle w:val="References"/>
        <w:numPr>
          <w:ilvl w:val="0"/>
          <w:numId w:val="1"/>
        </w:numPr>
        <w:ind w:left="284" w:hanging="284"/>
      </w:pPr>
      <w:r>
        <w:t xml:space="preserve">Carey ME.  Learning from traditional combat mortality and morbidity data used in the evaluation of combat medical care. </w:t>
      </w:r>
      <w:r>
        <w:rPr>
          <w:i/>
        </w:rPr>
        <w:t>Mil Med</w:t>
      </w:r>
      <w:r>
        <w:t xml:space="preserve"> 1987; 152:6-13.</w:t>
      </w:r>
    </w:p>
    <w:p w:rsidR="002D26B1" w:rsidRDefault="002D26B1" w:rsidP="002D26B1">
      <w:pPr>
        <w:pStyle w:val="References"/>
        <w:numPr>
          <w:ilvl w:val="0"/>
          <w:numId w:val="1"/>
        </w:numPr>
        <w:ind w:left="284" w:hanging="284"/>
      </w:pPr>
      <w:r>
        <w:t xml:space="preserve">Rieger A, Philippi W, Spies C, </w:t>
      </w:r>
      <w:proofErr w:type="spellStart"/>
      <w:r>
        <w:t>Eyrich</w:t>
      </w:r>
      <w:proofErr w:type="spellEnd"/>
      <w:r>
        <w:t xml:space="preserve"> K. Safe and normothermic massive transfusions by modification of an infusion warming and pressure device. </w:t>
      </w:r>
      <w:r>
        <w:rPr>
          <w:i/>
        </w:rPr>
        <w:t>J Trauma</w:t>
      </w:r>
      <w:r>
        <w:t xml:space="preserve"> 1995; 39:686-9</w:t>
      </w:r>
    </w:p>
    <w:p w:rsidR="002D26B1" w:rsidRDefault="002D26B1" w:rsidP="002D26B1">
      <w:pPr>
        <w:pStyle w:val="References"/>
        <w:numPr>
          <w:ilvl w:val="0"/>
          <w:numId w:val="1"/>
        </w:numPr>
        <w:ind w:left="284" w:hanging="284"/>
      </w:pPr>
      <w:r>
        <w:t xml:space="preserve">Byerly WG, </w:t>
      </w:r>
      <w:proofErr w:type="spellStart"/>
      <w:r>
        <w:t>Pendse</w:t>
      </w:r>
      <w:proofErr w:type="spellEnd"/>
      <w:r>
        <w:t xml:space="preserve"> PD.  War surgery in a forward surgical hospital in Vietnam:  A continuing report.  </w:t>
      </w:r>
      <w:r>
        <w:rPr>
          <w:i/>
        </w:rPr>
        <w:t>Mil Med</w:t>
      </w:r>
      <w:r>
        <w:t xml:space="preserve"> 1971; 136:221-6.</w:t>
      </w:r>
    </w:p>
    <w:p w:rsidR="002D26B1" w:rsidRDefault="002D26B1" w:rsidP="002D26B1">
      <w:pPr>
        <w:pStyle w:val="ArticlePara"/>
        <w:ind w:firstLine="0"/>
        <w:sectPr w:rsidR="002D26B1" w:rsidSect="002D26B1">
          <w:footnotePr>
            <w:numRestart w:val="eachPage"/>
          </w:footnotePr>
          <w:pgSz w:w="11907" w:h="16840" w:code="9"/>
          <w:pgMar w:top="1440" w:right="2552" w:bottom="1440" w:left="851" w:header="720" w:footer="720" w:gutter="0"/>
          <w:cols w:space="284"/>
        </w:sectPr>
      </w:pPr>
      <w:bookmarkStart w:id="0" w:name="_GoBack"/>
      <w:bookmarkEnd w:id="0"/>
    </w:p>
    <w:p w:rsidR="002D26B1" w:rsidRDefault="002D26B1" w:rsidP="002D26B1">
      <w:pPr>
        <w:sectPr w:rsidR="002D26B1">
          <w:headerReference w:type="even" r:id="rId13"/>
          <w:headerReference w:type="default" r:id="rId14"/>
          <w:footerReference w:type="even" r:id="rId15"/>
          <w:footerReference w:type="default" r:id="rId16"/>
          <w:footnotePr>
            <w:numRestart w:val="eachPage"/>
          </w:footnotePr>
          <w:type w:val="continuous"/>
          <w:pgSz w:w="11907" w:h="16840"/>
          <w:pgMar w:top="1440" w:right="2552" w:bottom="1440" w:left="851" w:header="720" w:footer="720" w:gutter="0"/>
          <w:cols w:space="284"/>
          <w:noEndnote/>
        </w:sectPr>
      </w:pPr>
    </w:p>
    <w:p w:rsidR="002D26B1" w:rsidRDefault="002D26B1" w:rsidP="002D26B1"/>
    <w:sectPr w:rsidR="002D26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26B1" w:rsidRDefault="002D26B1" w:rsidP="002D26B1">
      <w:r>
        <w:separator/>
      </w:r>
    </w:p>
  </w:endnote>
  <w:endnote w:type="continuationSeparator" w:id="0">
    <w:p w:rsidR="002D26B1" w:rsidRDefault="002D26B1" w:rsidP="002D2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Footer"/>
      <w:pBdr>
        <w:top w:val="single" w:sz="6" w:space="1" w:color="auto"/>
      </w:pBdr>
      <w:jc w:val="center"/>
      <w:rPr>
        <w:rStyle w:val="PageNumber"/>
      </w:rP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Footer"/>
      <w:pBdr>
        <w:top w:val="single" w:sz="6" w:space="1" w:color="auto"/>
      </w:pBdr>
      <w:jc w:val="center"/>
    </w:pPr>
    <w:r>
      <w:rPr>
        <w:rStyle w:val="PageNumber"/>
      </w:rPr>
      <w:t xml:space="preserve">Page </w:t>
    </w:r>
    <w:r>
      <w:rPr>
        <w:rStyle w:val="PageNumber"/>
      </w:rPr>
      <w:fldChar w:fldCharType="begin"/>
    </w:r>
    <w:r>
      <w:rPr>
        <w:rStyle w:val="PageNumber"/>
      </w:rPr>
      <w:instrText xml:space="preserve">PAGE  </w:instrText>
    </w:r>
    <w:r>
      <w:rPr>
        <w:rStyle w:val="PageNumber"/>
      </w:rPr>
      <w:fldChar w:fldCharType="separate"/>
    </w:r>
    <w:r>
      <w:rPr>
        <w:rStyle w:val="PageNumber"/>
      </w:rPr>
      <w:t>29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26B1" w:rsidRDefault="002D26B1" w:rsidP="002D26B1">
      <w:r>
        <w:separator/>
      </w:r>
    </w:p>
  </w:footnote>
  <w:footnote w:type="continuationSeparator" w:id="0">
    <w:p w:rsidR="002D26B1" w:rsidRDefault="002D26B1" w:rsidP="002D26B1">
      <w:r>
        <w:continuationSeparator/>
      </w:r>
    </w:p>
  </w:footnote>
  <w:footnote w:id="1">
    <w:p w:rsidR="002D26B1" w:rsidRDefault="002D26B1" w:rsidP="002D26B1">
      <w:pPr>
        <w:pStyle w:val="FootnoteText"/>
      </w:pPr>
      <w:r>
        <w:rPr>
          <w:rStyle w:val="FootnoteReference"/>
        </w:rPr>
        <w:footnoteRef/>
      </w:r>
      <w:r>
        <w:t xml:space="preserve"> </w:t>
      </w:r>
      <w:r>
        <w:tab/>
        <w:t xml:space="preserve">Payne JE, Meyer HJ, Berne TV. Transfusion requirements in 970 patients with gunshot wounds. </w:t>
      </w:r>
      <w:r>
        <w:rPr>
          <w:i/>
        </w:rPr>
        <w:t>Aust Mil Med</w:t>
      </w:r>
      <w:r>
        <w:t xml:space="preserve"> 1996; 5(3):3-6</w:t>
      </w:r>
    </w:p>
    <w:p w:rsidR="002D26B1" w:rsidRDefault="002D26B1" w:rsidP="002D26B1">
      <w:pPr>
        <w:pStyle w:val="FootnoteText"/>
      </w:pPr>
      <w:r>
        <w:tab/>
        <w:t>Presented at the Sixth Asia-Pacific Military Medicine Conference, Sydney, 16th April 1996.</w:t>
      </w:r>
    </w:p>
    <w:p w:rsidR="002D26B1" w:rsidRDefault="002D26B1" w:rsidP="002D26B1">
      <w:pPr>
        <w:pStyle w:val="FootnoteText"/>
      </w:pPr>
      <w:r>
        <w:tab/>
        <w:t xml:space="preserve">Address for Correspondence: Dr J.E. Payne, Department of Surgery, Clinical Sciences Building, Concord Repatriation General, Hospital, </w:t>
      </w:r>
      <w:proofErr w:type="gramStart"/>
      <w:r>
        <w:t>Concord  NSW</w:t>
      </w:r>
      <w:proofErr w:type="gramEnd"/>
      <w:r>
        <w:t xml:space="preserve">  2139, Australia</w:t>
      </w:r>
    </w:p>
  </w:footnote>
  <w:footnote w:id="2">
    <w:p w:rsidR="002D26B1" w:rsidRDefault="002D26B1" w:rsidP="002D26B1">
      <w:pPr>
        <w:pStyle w:val="FootnoteText"/>
      </w:pPr>
      <w:r>
        <w:rPr>
          <w:rStyle w:val="FootnoteReference"/>
        </w:rPr>
        <w:footnoteRef/>
      </w:r>
      <w:r>
        <w:t xml:space="preserve"> </w:t>
      </w:r>
      <w:r>
        <w:tab/>
        <w:t xml:space="preserve">John E. Payne. MB BS, MS, FRCS(Ed), FRACS, FACS, WGCDR RAAFSR. Senior Lecturer in Surgery, University of Sydney at the Repatriation General Hospital, Concord since 1975. Four years’ experience in Los Angeles County - University of Southern California Medical </w:t>
      </w:r>
      <w:proofErr w:type="spellStart"/>
      <w:r>
        <w:t>Center</w:t>
      </w:r>
      <w:proofErr w:type="spellEnd"/>
      <w:r>
        <w:t>, including one as Visiting Professor.</w:t>
      </w:r>
    </w:p>
  </w:footnote>
  <w:footnote w:id="3">
    <w:p w:rsidR="002D26B1" w:rsidRDefault="002D26B1" w:rsidP="002D26B1">
      <w:pPr>
        <w:pStyle w:val="FootnoteText"/>
      </w:pPr>
      <w:r>
        <w:rPr>
          <w:rStyle w:val="FootnoteReference"/>
        </w:rPr>
        <w:footnoteRef/>
      </w:r>
      <w:r>
        <w:t xml:space="preserve"> </w:t>
      </w:r>
      <w:r>
        <w:tab/>
        <w:t xml:space="preserve">H.J. Meyer. </w:t>
      </w:r>
      <w:r>
        <w:rPr>
          <w:sz w:val="22"/>
        </w:rPr>
        <w:t xml:space="preserve">B App Sc. Research Officer, Department of Surgery, University of Sydney at </w:t>
      </w:r>
      <w:r>
        <w:t>the Repatriation General Hospital, Concord since 1974.</w:t>
      </w:r>
    </w:p>
  </w:footnote>
  <w:footnote w:id="4">
    <w:p w:rsidR="002D26B1" w:rsidRDefault="002D26B1" w:rsidP="002D26B1">
      <w:pPr>
        <w:pStyle w:val="FootnoteText"/>
      </w:pPr>
      <w:r>
        <w:rPr>
          <w:rStyle w:val="FootnoteReference"/>
        </w:rPr>
        <w:footnoteRef/>
      </w:r>
      <w:r>
        <w:t xml:space="preserve"> </w:t>
      </w:r>
      <w:r>
        <w:tab/>
        <w:t xml:space="preserve">Thomas V. Berne. MD, FACS. Professor of Surgery at Los Angeles County - University of Southern California Medical </w:t>
      </w:r>
      <w:proofErr w:type="spellStart"/>
      <w:r>
        <w:t>Center</w:t>
      </w:r>
      <w:proofErr w:type="spellEnd"/>
      <w:r>
        <w:t>. Formerly Chief of Trauma. (LAC-USC Medical Centre is the largest urban trauma centre in the United States).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Header"/>
      <w:jc w:val="right"/>
    </w:pPr>
    <w:r>
      <w:rPr>
        <w:i/>
      </w:rPr>
      <w:t>Australian Military Medicine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Header"/>
    </w:pPr>
    <w:r>
      <w:rPr>
        <w:i/>
      </w:rPr>
      <w:t>Volume 5 Number 3, December 1996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Header"/>
      <w:jc w:val="right"/>
    </w:pPr>
    <w:r>
      <w:rPr>
        <w:i/>
      </w:rPr>
      <w:t>Australian Military Medicine</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6B1" w:rsidRDefault="002D26B1">
    <w:pPr>
      <w:pStyle w:val="Header"/>
    </w:pPr>
    <w:r>
      <w:rPr>
        <w:i/>
      </w:rPr>
      <w:t>Volume 5 Number 3, December 1996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EE1543"/>
    <w:multiLevelType w:val="singleLevel"/>
    <w:tmpl w:val="9D565B74"/>
    <w:lvl w:ilvl="0">
      <w:start w:val="1"/>
      <w:numFmt w:val="decimal"/>
      <w:lvlText w:val="%1."/>
      <w:legacy w:legacy="1" w:legacySpace="0" w:legacyIndent="283"/>
      <w:lvlJc w:val="left"/>
      <w:pPr>
        <w:ind w:left="283"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6B1"/>
    <w:rsid w:val="001E21CA"/>
    <w:rsid w:val="002D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5D28"/>
  <w15:chartTrackingRefBased/>
  <w15:docId w15:val="{A402D3F6-4038-4A46-B5A7-D3BAF23E2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26B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AU" w:eastAsia="en-AU"/>
    </w:rPr>
  </w:style>
  <w:style w:type="paragraph" w:styleId="Heading1">
    <w:name w:val="heading 1"/>
    <w:basedOn w:val="Normal"/>
    <w:next w:val="Normal"/>
    <w:link w:val="Heading1Char"/>
    <w:uiPriority w:val="9"/>
    <w:qFormat/>
    <w:rsid w:val="002D26B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D26B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D26B1"/>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2D26B1"/>
  </w:style>
  <w:style w:type="paragraph" w:styleId="Header">
    <w:name w:val="header"/>
    <w:basedOn w:val="Normal"/>
    <w:link w:val="HeaderChar"/>
    <w:semiHidden/>
    <w:rsid w:val="002D26B1"/>
    <w:pPr>
      <w:tabs>
        <w:tab w:val="center" w:pos="4153"/>
        <w:tab w:val="right" w:pos="8306"/>
      </w:tabs>
    </w:pPr>
  </w:style>
  <w:style w:type="character" w:customStyle="1" w:styleId="HeaderChar">
    <w:name w:val="Header Char"/>
    <w:basedOn w:val="DefaultParagraphFont"/>
    <w:link w:val="Header"/>
    <w:semiHidden/>
    <w:rsid w:val="002D26B1"/>
    <w:rPr>
      <w:rFonts w:ascii="Times New Roman" w:eastAsia="Times New Roman" w:hAnsi="Times New Roman" w:cs="Times New Roman"/>
      <w:sz w:val="20"/>
      <w:szCs w:val="20"/>
      <w:lang w:val="en-AU" w:eastAsia="en-AU"/>
    </w:rPr>
  </w:style>
  <w:style w:type="paragraph" w:styleId="Footer">
    <w:name w:val="footer"/>
    <w:basedOn w:val="Normal"/>
    <w:link w:val="FooterChar"/>
    <w:semiHidden/>
    <w:rsid w:val="002D26B1"/>
    <w:pPr>
      <w:tabs>
        <w:tab w:val="center" w:pos="4153"/>
        <w:tab w:val="right" w:pos="8306"/>
      </w:tabs>
    </w:pPr>
  </w:style>
  <w:style w:type="character" w:customStyle="1" w:styleId="FooterChar">
    <w:name w:val="Footer Char"/>
    <w:basedOn w:val="DefaultParagraphFont"/>
    <w:link w:val="Footer"/>
    <w:semiHidden/>
    <w:rsid w:val="002D26B1"/>
    <w:rPr>
      <w:rFonts w:ascii="Times New Roman" w:eastAsia="Times New Roman" w:hAnsi="Times New Roman" w:cs="Times New Roman"/>
      <w:sz w:val="20"/>
      <w:szCs w:val="20"/>
      <w:lang w:val="en-AU" w:eastAsia="en-AU"/>
    </w:rPr>
  </w:style>
  <w:style w:type="paragraph" w:customStyle="1" w:styleId="ArticleTitle">
    <w:name w:val="Article Title"/>
    <w:basedOn w:val="Heading1"/>
    <w:next w:val="ArticleAuthor"/>
    <w:rsid w:val="002D26B1"/>
    <w:pPr>
      <w:pBdr>
        <w:top w:val="single" w:sz="6" w:space="1" w:color="auto"/>
      </w:pBdr>
      <w:suppressAutoHyphens/>
      <w:spacing w:after="60"/>
      <w:outlineLvl w:val="9"/>
    </w:pPr>
    <w:rPr>
      <w:rFonts w:ascii="Times New Roman" w:eastAsia="Times New Roman" w:hAnsi="Times New Roman" w:cs="Times New Roman"/>
      <w:color w:val="auto"/>
      <w:kern w:val="28"/>
      <w:sz w:val="40"/>
      <w:szCs w:val="20"/>
    </w:rPr>
  </w:style>
  <w:style w:type="paragraph" w:customStyle="1" w:styleId="ArticleAuthor">
    <w:name w:val="Article Author"/>
    <w:basedOn w:val="Heading2"/>
    <w:next w:val="ArticleFirstPara"/>
    <w:rsid w:val="002D26B1"/>
    <w:pPr>
      <w:suppressAutoHyphens/>
      <w:spacing w:before="240" w:after="60"/>
      <w:outlineLvl w:val="9"/>
    </w:pPr>
    <w:rPr>
      <w:rFonts w:ascii="Times New Roman" w:eastAsia="Times New Roman" w:hAnsi="Times New Roman" w:cs="Times New Roman"/>
      <w:color w:val="auto"/>
      <w:sz w:val="28"/>
      <w:szCs w:val="20"/>
    </w:rPr>
  </w:style>
  <w:style w:type="paragraph" w:customStyle="1" w:styleId="ArticleFirstPara">
    <w:name w:val="Article First Para"/>
    <w:basedOn w:val="ArticlePara"/>
    <w:next w:val="ArticlePara"/>
    <w:rsid w:val="002D26B1"/>
    <w:pPr>
      <w:ind w:firstLine="0"/>
    </w:pPr>
  </w:style>
  <w:style w:type="paragraph" w:customStyle="1" w:styleId="ArticlePara">
    <w:name w:val="Article Para"/>
    <w:basedOn w:val="Normal"/>
    <w:rsid w:val="002D26B1"/>
    <w:pPr>
      <w:tabs>
        <w:tab w:val="left" w:pos="567"/>
      </w:tabs>
      <w:ind w:firstLine="567"/>
      <w:jc w:val="both"/>
    </w:pPr>
    <w:rPr>
      <w:rFonts w:ascii="Century Schoolbook" w:hAnsi="Century Schoolbook"/>
      <w:sz w:val="18"/>
    </w:rPr>
  </w:style>
  <w:style w:type="paragraph" w:customStyle="1" w:styleId="ArticleHeading">
    <w:name w:val="Article Heading"/>
    <w:basedOn w:val="Heading3"/>
    <w:next w:val="ArticleFirstPara"/>
    <w:rsid w:val="002D26B1"/>
    <w:pPr>
      <w:suppressAutoHyphens/>
      <w:spacing w:before="240" w:after="60"/>
      <w:outlineLvl w:val="9"/>
    </w:pPr>
    <w:rPr>
      <w:rFonts w:ascii="Century Schoolbook" w:eastAsia="Times New Roman" w:hAnsi="Century Schoolbook" w:cs="Times New Roman"/>
      <w:b/>
      <w:color w:val="auto"/>
      <w:sz w:val="18"/>
      <w:szCs w:val="20"/>
    </w:rPr>
  </w:style>
  <w:style w:type="paragraph" w:customStyle="1" w:styleId="ArticleSection">
    <w:name w:val="Article Section"/>
    <w:basedOn w:val="Heading1"/>
    <w:next w:val="ArticleTitle"/>
    <w:rsid w:val="002D26B1"/>
    <w:pPr>
      <w:pageBreakBefore/>
      <w:suppressAutoHyphens/>
      <w:spacing w:before="0" w:after="60"/>
      <w:outlineLvl w:val="9"/>
    </w:pPr>
    <w:rPr>
      <w:rFonts w:ascii="Times New Roman" w:eastAsia="Times New Roman" w:hAnsi="Times New Roman" w:cs="Times New Roman"/>
      <w:i/>
      <w:color w:val="auto"/>
      <w:kern w:val="28"/>
      <w:sz w:val="48"/>
      <w:szCs w:val="20"/>
    </w:rPr>
  </w:style>
  <w:style w:type="paragraph" w:styleId="FootnoteText">
    <w:name w:val="footnote text"/>
    <w:basedOn w:val="Normal"/>
    <w:link w:val="FootnoteTextChar"/>
    <w:semiHidden/>
    <w:rsid w:val="002D26B1"/>
    <w:pPr>
      <w:keepLines/>
      <w:suppressAutoHyphens/>
      <w:ind w:left="720" w:hanging="720"/>
    </w:pPr>
  </w:style>
  <w:style w:type="character" w:customStyle="1" w:styleId="FootnoteTextChar">
    <w:name w:val="Footnote Text Char"/>
    <w:basedOn w:val="DefaultParagraphFont"/>
    <w:link w:val="FootnoteText"/>
    <w:semiHidden/>
    <w:rsid w:val="002D26B1"/>
    <w:rPr>
      <w:rFonts w:ascii="Times New Roman" w:eastAsia="Times New Roman" w:hAnsi="Times New Roman" w:cs="Times New Roman"/>
      <w:sz w:val="20"/>
      <w:szCs w:val="20"/>
      <w:lang w:val="en-AU" w:eastAsia="en-AU"/>
    </w:rPr>
  </w:style>
  <w:style w:type="character" w:styleId="FootnoteReference">
    <w:name w:val="footnote reference"/>
    <w:semiHidden/>
    <w:rsid w:val="002D26B1"/>
    <w:rPr>
      <w:vertAlign w:val="superscript"/>
    </w:rPr>
  </w:style>
  <w:style w:type="character" w:customStyle="1" w:styleId="Heading1Char">
    <w:name w:val="Heading 1 Char"/>
    <w:basedOn w:val="DefaultParagraphFont"/>
    <w:link w:val="Heading1"/>
    <w:uiPriority w:val="9"/>
    <w:rsid w:val="002D26B1"/>
    <w:rPr>
      <w:rFonts w:asciiTheme="majorHAnsi" w:eastAsiaTheme="majorEastAsia" w:hAnsiTheme="majorHAnsi" w:cstheme="majorBidi"/>
      <w:color w:val="2F5496" w:themeColor="accent1" w:themeShade="BF"/>
      <w:sz w:val="32"/>
      <w:szCs w:val="32"/>
      <w:lang w:val="en-AU" w:eastAsia="en-AU"/>
    </w:rPr>
  </w:style>
  <w:style w:type="character" w:customStyle="1" w:styleId="Heading2Char">
    <w:name w:val="Heading 2 Char"/>
    <w:basedOn w:val="DefaultParagraphFont"/>
    <w:link w:val="Heading2"/>
    <w:uiPriority w:val="9"/>
    <w:semiHidden/>
    <w:rsid w:val="002D26B1"/>
    <w:rPr>
      <w:rFonts w:asciiTheme="majorHAnsi" w:eastAsiaTheme="majorEastAsia" w:hAnsiTheme="majorHAnsi" w:cstheme="majorBidi"/>
      <w:color w:val="2F5496" w:themeColor="accent1" w:themeShade="BF"/>
      <w:sz w:val="26"/>
      <w:szCs w:val="26"/>
      <w:lang w:val="en-AU" w:eastAsia="en-AU"/>
    </w:rPr>
  </w:style>
  <w:style w:type="character" w:customStyle="1" w:styleId="Heading3Char">
    <w:name w:val="Heading 3 Char"/>
    <w:basedOn w:val="DefaultParagraphFont"/>
    <w:link w:val="Heading3"/>
    <w:uiPriority w:val="9"/>
    <w:semiHidden/>
    <w:rsid w:val="002D26B1"/>
    <w:rPr>
      <w:rFonts w:asciiTheme="majorHAnsi" w:eastAsiaTheme="majorEastAsia" w:hAnsiTheme="majorHAnsi" w:cstheme="majorBidi"/>
      <w:color w:val="1F3763" w:themeColor="accent1" w:themeShade="7F"/>
      <w:sz w:val="24"/>
      <w:szCs w:val="24"/>
      <w:lang w:val="en-AU" w:eastAsia="en-AU"/>
    </w:rPr>
  </w:style>
  <w:style w:type="paragraph" w:customStyle="1" w:styleId="Table">
    <w:name w:val="Table"/>
    <w:basedOn w:val="Normal"/>
    <w:rsid w:val="002D26B1"/>
    <w:pPr>
      <w:keepNext/>
      <w:keepLines/>
      <w:suppressAutoHyphens/>
    </w:pPr>
    <w:rPr>
      <w:sz w:val="18"/>
    </w:rPr>
  </w:style>
  <w:style w:type="paragraph" w:styleId="Caption">
    <w:name w:val="caption"/>
    <w:basedOn w:val="Normal"/>
    <w:next w:val="Normal"/>
    <w:qFormat/>
    <w:rsid w:val="002D26B1"/>
    <w:pPr>
      <w:keepNext/>
      <w:keepLines/>
      <w:tabs>
        <w:tab w:val="left" w:pos="1134"/>
      </w:tabs>
      <w:suppressAutoHyphens/>
      <w:spacing w:before="120" w:after="120"/>
      <w:ind w:left="1134" w:hanging="1134"/>
      <w:jc w:val="center"/>
    </w:pPr>
    <w:rPr>
      <w:i/>
    </w:rPr>
  </w:style>
  <w:style w:type="paragraph" w:customStyle="1" w:styleId="TableFootnote">
    <w:name w:val="Table Footnote"/>
    <w:basedOn w:val="Normal"/>
    <w:rsid w:val="002D26B1"/>
    <w:pPr>
      <w:keepNext/>
      <w:keepLines/>
      <w:suppressAutoHyphens/>
    </w:pPr>
    <w:rPr>
      <w:rFonts w:ascii="Arial" w:hAnsi="Arial"/>
      <w:sz w:val="18"/>
    </w:rPr>
  </w:style>
  <w:style w:type="paragraph" w:customStyle="1" w:styleId="ReferenceHeading">
    <w:name w:val="Reference Heading"/>
    <w:basedOn w:val="Normal"/>
    <w:next w:val="References"/>
    <w:rsid w:val="002D26B1"/>
    <w:pPr>
      <w:keepNext/>
    </w:pPr>
    <w:rPr>
      <w:b/>
      <w:sz w:val="24"/>
    </w:rPr>
  </w:style>
  <w:style w:type="paragraph" w:customStyle="1" w:styleId="References">
    <w:name w:val="References"/>
    <w:basedOn w:val="ReferenceHeading"/>
    <w:rsid w:val="002D26B1"/>
    <w:pPr>
      <w:keepNext w:val="0"/>
      <w:keepLines/>
      <w:suppressAutoHyphens/>
      <w:ind w:left="284" w:hanging="284"/>
    </w:pPr>
    <w:rPr>
      <w:b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wmf"/><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Ebony Abblitt</dc:creator>
  <cp:keywords/>
  <dc:description/>
  <cp:lastModifiedBy>Ebony Abblitt</cp:lastModifiedBy>
  <cp:revision>1</cp:revision>
  <dcterms:created xsi:type="dcterms:W3CDTF">2018-05-03T00:43:00Z</dcterms:created>
  <dcterms:modified xsi:type="dcterms:W3CDTF">2018-05-03T00:45:00Z</dcterms:modified>
</cp:coreProperties>
</file>