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4009" w14:textId="77777777" w:rsidR="00693277" w:rsidRDefault="00693277" w:rsidP="00693277">
      <w:pPr>
        <w:pStyle w:val="ArticleTitle"/>
        <w:pBdr>
          <w:top w:val="none" w:sz="0" w:space="0" w:color="auto"/>
        </w:pBdr>
      </w:pPr>
      <w:r>
        <w:t>Medical NBC Training - Where to now?</w:t>
      </w:r>
      <w:r>
        <w:rPr>
          <w:rStyle w:val="FootnoteReference"/>
        </w:rPr>
        <w:footnoteReference w:id="1"/>
      </w:r>
    </w:p>
    <w:p w14:paraId="33469AAC" w14:textId="77777777" w:rsidR="00693277" w:rsidRDefault="00693277" w:rsidP="00693277">
      <w:pPr>
        <w:pStyle w:val="ArticleAuthor"/>
      </w:pPr>
      <w:r>
        <w:t>A.G. Robertson,</w:t>
      </w:r>
      <w:r>
        <w:rPr>
          <w:rStyle w:val="FootnoteReference"/>
        </w:rPr>
        <w:footnoteReference w:id="2"/>
      </w:r>
      <w:r>
        <w:t xml:space="preserve"> D.J. Morgan-Jones</w:t>
      </w:r>
      <w:r>
        <w:rPr>
          <w:rStyle w:val="FootnoteReference"/>
        </w:rPr>
        <w:footnoteReference w:id="3"/>
      </w:r>
    </w:p>
    <w:p w14:paraId="36A886A3" w14:textId="77777777" w:rsidR="00693277" w:rsidRDefault="00693277" w:rsidP="00693277">
      <w:pPr>
        <w:pStyle w:val="ArticlePara"/>
      </w:pPr>
    </w:p>
    <w:p w14:paraId="7A41DFFF" w14:textId="77777777" w:rsidR="00693277" w:rsidRDefault="00693277" w:rsidP="00693277">
      <w:pPr>
        <w:pStyle w:val="ArticlePara"/>
      </w:pPr>
    </w:p>
    <w:p w14:paraId="4C3B3019" w14:textId="77777777" w:rsidR="00693277" w:rsidRDefault="00693277" w:rsidP="00693277">
      <w:pPr>
        <w:pStyle w:val="ArticlePara"/>
        <w:sectPr w:rsidR="00693277" w:rsidSect="00693277">
          <w:headerReference w:type="even" r:id="rId7"/>
          <w:headerReference w:type="default" r:id="rId8"/>
          <w:footerReference w:type="even" r:id="rId9"/>
          <w:footerReference w:type="default" r:id="rId10"/>
          <w:footnotePr>
            <w:numRestart w:val="eachPage"/>
          </w:footnotePr>
          <w:pgSz w:w="11907" w:h="16840" w:code="9"/>
          <w:pgMar w:top="1440" w:right="2552" w:bottom="1440" w:left="851" w:header="720" w:footer="720" w:gutter="0"/>
          <w:cols w:space="284"/>
        </w:sectPr>
      </w:pPr>
    </w:p>
    <w:p w14:paraId="15B10FAB" w14:textId="77777777" w:rsidR="00693277" w:rsidRDefault="00693277" w:rsidP="00693277">
      <w:pPr>
        <w:pStyle w:val="ArticleHeading"/>
        <w:spacing w:before="0"/>
      </w:pPr>
      <w:r>
        <w:t>Abstract</w:t>
      </w:r>
    </w:p>
    <w:p w14:paraId="44B2CBC4" w14:textId="77777777" w:rsidR="00693277" w:rsidRDefault="00693277" w:rsidP="00693277">
      <w:pPr>
        <w:pStyle w:val="ArticleFirstPara"/>
      </w:pPr>
      <w:r>
        <w:t>Nuclear, Biological and Chemical (NBC) Warfare remains as much a risk today as it has been in the past. With increased numbers of proliferating nations, increased industrialisation and poorly effe</w:t>
      </w:r>
      <w:r>
        <w:t>c</w:t>
      </w:r>
      <w:r>
        <w:t>tive arms control measures, this risk is unlikely to decrease in the foreseeable future. To prepare mi</w:t>
      </w:r>
      <w:r>
        <w:t>l</w:t>
      </w:r>
      <w:r>
        <w:t>itary physicians to deal with these toxic hazards, NBC medical training doctrine needs to be r</w:t>
      </w:r>
      <w:r>
        <w:t>e</w:t>
      </w:r>
      <w:r>
        <w:t>viewed. Review of this doctrine has highlighted the need to enhance the current medical NBC trai</w:t>
      </w:r>
      <w:r>
        <w:t>n</w:t>
      </w:r>
      <w:r>
        <w:t>ing, both to align it with Emergency Management of Severe Trauma concepts and to target the most appr</w:t>
      </w:r>
      <w:r>
        <w:t>o</w:t>
      </w:r>
      <w:r>
        <w:t>priate medical populations.</w:t>
      </w:r>
    </w:p>
    <w:p w14:paraId="1A400455" w14:textId="77777777" w:rsidR="00693277" w:rsidRDefault="00693277" w:rsidP="00693277">
      <w:pPr>
        <w:pStyle w:val="ArticlePara"/>
      </w:pPr>
    </w:p>
    <w:p w14:paraId="24F2FA76" w14:textId="77777777" w:rsidR="00693277" w:rsidRDefault="00693277" w:rsidP="00693277">
      <w:pPr>
        <w:pStyle w:val="ArticlePara"/>
      </w:pPr>
    </w:p>
    <w:p w14:paraId="187F4295" w14:textId="77777777" w:rsidR="00693277" w:rsidRDefault="00693277" w:rsidP="00693277">
      <w:pPr>
        <w:pStyle w:val="ArticlePara"/>
        <w:sectPr w:rsidR="00693277">
          <w:footnotePr>
            <w:numRestart w:val="eachPage"/>
          </w:footnotePr>
          <w:type w:val="continuous"/>
          <w:pgSz w:w="11907" w:h="16840"/>
          <w:pgMar w:top="1440" w:right="2552" w:bottom="1440" w:left="851" w:header="720" w:footer="720" w:gutter="0"/>
          <w:cols w:space="284"/>
          <w:noEndnote/>
        </w:sectPr>
      </w:pPr>
    </w:p>
    <w:p w14:paraId="652A0D11" w14:textId="77777777" w:rsidR="00693277" w:rsidRDefault="00693277" w:rsidP="00693277">
      <w:pPr>
        <w:pStyle w:val="ArticleHeading"/>
        <w:spacing w:before="0"/>
      </w:pPr>
      <w:r>
        <w:t>Introduction</w:t>
      </w:r>
    </w:p>
    <w:p w14:paraId="19443532" w14:textId="77777777" w:rsidR="00693277" w:rsidRDefault="00693277" w:rsidP="00693277">
      <w:pPr>
        <w:pStyle w:val="ArticleFirstPara"/>
      </w:pPr>
      <w:r>
        <w:t>At 1730 hours on 22 April 1915, the Germans r</w:t>
      </w:r>
      <w:r>
        <w:t>e</w:t>
      </w:r>
      <w:r>
        <w:t>leased 150 tons of chlorine from gas cylinders against Allied lines at Ypres.</w:t>
      </w:r>
      <w:r>
        <w:rPr>
          <w:vertAlign w:val="superscript"/>
        </w:rPr>
        <w:t>1</w:t>
      </w:r>
      <w:r>
        <w:t xml:space="preserve"> Modern chemical warfare had begun. This initial use was fo</w:t>
      </w:r>
      <w:r>
        <w:t>l</w:t>
      </w:r>
      <w:r>
        <w:t>lowed over the next four years by intensive use of chl</w:t>
      </w:r>
      <w:r>
        <w:t>o</w:t>
      </w:r>
      <w:r>
        <w:t>rine, phosgene, sulphur mustard and other chemical agents by both sides. Casualties nu</w:t>
      </w:r>
      <w:r>
        <w:t>m</w:t>
      </w:r>
      <w:r>
        <w:t>ber 1.3 million, including 91 000 deaths, were a</w:t>
      </w:r>
      <w:r>
        <w:t>t</w:t>
      </w:r>
      <w:r>
        <w:t>tributed to chemical warfare.</w:t>
      </w:r>
      <w:r>
        <w:rPr>
          <w:vertAlign w:val="superscript"/>
        </w:rPr>
        <w:t>2</w:t>
      </w:r>
      <w:r>
        <w:t xml:space="preserve"> Subsequent che</w:t>
      </w:r>
      <w:r>
        <w:t>m</w:t>
      </w:r>
      <w:r>
        <w:t>ical agent use was to occur in sca</w:t>
      </w:r>
      <w:r>
        <w:t>t</w:t>
      </w:r>
      <w:r>
        <w:t>tered conflicts over the next 75 years, including the Italo-Abyssinian War, the Sino-Japanese War and the recent Iran-Iraq War.</w:t>
      </w:r>
      <w:r>
        <w:rPr>
          <w:vertAlign w:val="superscript"/>
        </w:rPr>
        <w:t>3</w:t>
      </w:r>
      <w:r>
        <w:t xml:space="preserve"> Nerve agents were di</w:t>
      </w:r>
      <w:r>
        <w:t>s</w:t>
      </w:r>
      <w:r>
        <w:t>covered by German scientists in 1936. Fort</w:t>
      </w:r>
      <w:r>
        <w:t>u</w:t>
      </w:r>
      <w:r>
        <w:t>nately, no chemical agents were used in the Se</w:t>
      </w:r>
      <w:r>
        <w:t>c</w:t>
      </w:r>
      <w:r>
        <w:t>ond World War.</w:t>
      </w:r>
      <w:r>
        <w:rPr>
          <w:vertAlign w:val="superscript"/>
        </w:rPr>
        <w:t>4</w:t>
      </w:r>
      <w:r>
        <w:t xml:space="preserve"> The continued danger of chem</w:t>
      </w:r>
      <w:r>
        <w:t>i</w:t>
      </w:r>
      <w:r>
        <w:t>cally induced injury to both military and civilian personnel has been illustrated by a number of catastrophic industrial accidents, including Bh</w:t>
      </w:r>
      <w:r>
        <w:t>o</w:t>
      </w:r>
      <w:r>
        <w:t>pal where 2 500 people died following an indu</w:t>
      </w:r>
      <w:r>
        <w:t>s</w:t>
      </w:r>
      <w:r>
        <w:t>trial methyl isocyanate leak in 1984.</w:t>
      </w:r>
    </w:p>
    <w:p w14:paraId="68B987D8" w14:textId="77777777" w:rsidR="00693277" w:rsidRDefault="00693277" w:rsidP="00693277">
      <w:pPr>
        <w:pStyle w:val="ArticlePara"/>
      </w:pPr>
      <w:r>
        <w:t>Biological warfare has been with us for millennia. From the dropping of cadavers into wells to the throwing of plague victims over the walls of Caffa,</w:t>
      </w:r>
      <w:r>
        <w:rPr>
          <w:vertAlign w:val="superscript"/>
        </w:rPr>
        <w:t>6,7</w:t>
      </w:r>
      <w:r>
        <w:t xml:space="preserve"> biological warfare has existed in one form or another. Modern biological wa</w:t>
      </w:r>
      <w:r>
        <w:t>r</w:t>
      </w:r>
      <w:r>
        <w:t>fare began in a laboratory in Pingfan, Manch</w:t>
      </w:r>
      <w:r>
        <w:t>u</w:t>
      </w:r>
      <w:r>
        <w:t>ria, in 1936, where biological warfare agents were m</w:t>
      </w:r>
      <w:r>
        <w:t>e</w:t>
      </w:r>
      <w:r>
        <w:t>thodically studied, experimented with and ult</w:t>
      </w:r>
      <w:r>
        <w:t>i</w:t>
      </w:r>
      <w:r>
        <w:t>mately used by the Japanese against the Ch</w:t>
      </w:r>
      <w:r>
        <w:t>i</w:t>
      </w:r>
      <w:r>
        <w:t>nese in the Sino-Japanese war.</w:t>
      </w:r>
      <w:r>
        <w:rPr>
          <w:vertAlign w:val="superscript"/>
        </w:rPr>
        <w:t>8</w:t>
      </w:r>
      <w:r>
        <w:t xml:space="preserve"> Although no further validated use has occurred, there have </w:t>
      </w:r>
      <w:r>
        <w:t>been numerous allegations of use of both biolog</w:t>
      </w:r>
      <w:r>
        <w:t>i</w:t>
      </w:r>
      <w:r>
        <w:t>cal and toxin agents in various conflicts, inclu</w:t>
      </w:r>
      <w:r>
        <w:t>d</w:t>
      </w:r>
      <w:r>
        <w:t>ing the Korean and Vietnam Wars.</w:t>
      </w:r>
      <w:r>
        <w:rPr>
          <w:vertAlign w:val="superscript"/>
        </w:rPr>
        <w:t>6</w:t>
      </w:r>
    </w:p>
    <w:p w14:paraId="309D4AA7" w14:textId="77777777" w:rsidR="00693277" w:rsidRDefault="00693277" w:rsidP="00693277">
      <w:pPr>
        <w:pStyle w:val="ArticlePara"/>
      </w:pPr>
      <w:r>
        <w:t>The nuclear warfare age was initiated with the explosion of an atomic device over Hir</w:t>
      </w:r>
      <w:r>
        <w:t>o</w:t>
      </w:r>
      <w:r>
        <w:t>shima on August 6, 1945.</w:t>
      </w:r>
      <w:r>
        <w:rPr>
          <w:vertAlign w:val="superscript"/>
        </w:rPr>
        <w:t xml:space="preserve">9 </w:t>
      </w:r>
      <w:r>
        <w:t xml:space="preserve"> This 12 kiloton wea</w:t>
      </w:r>
      <w:r>
        <w:t>p</w:t>
      </w:r>
      <w:r>
        <w:t>on produced 45 000 deaths and 90 000 casualties in the first 24 hours.</w:t>
      </w:r>
      <w:r>
        <w:rPr>
          <w:vertAlign w:val="superscript"/>
        </w:rPr>
        <w:t>10</w:t>
      </w:r>
      <w:r>
        <w:t xml:space="preserve"> A second device was dropped on Nagasaki on August 8, 1945. In 1949, the Soviet Union tested their first nuclear weapon. The nuclear arms race had begun. By 1983, at the height of the Cold War, the United States was estimated to have 9 719 nuclear wa</w:t>
      </w:r>
      <w:r>
        <w:t>r</w:t>
      </w:r>
      <w:r>
        <w:t>heads, the Soviet Union, 8 040.</w:t>
      </w:r>
      <w:r>
        <w:rPr>
          <w:vertAlign w:val="superscript"/>
        </w:rPr>
        <w:t>11</w:t>
      </w:r>
    </w:p>
    <w:p w14:paraId="1D45B2B3" w14:textId="77777777" w:rsidR="00693277" w:rsidRDefault="00693277" w:rsidP="00693277">
      <w:pPr>
        <w:pStyle w:val="ArticlePara"/>
      </w:pPr>
      <w:r>
        <w:t>Nuclear, Biological and Chemical (NBC) warfare has been with us as a major military risk for over fifty years. Research into NBC me</w:t>
      </w:r>
      <w:r>
        <w:t>d</w:t>
      </w:r>
      <w:r>
        <w:t>ical countermeasures, agent detection and pr</w:t>
      </w:r>
      <w:r>
        <w:t>o</w:t>
      </w:r>
      <w:r>
        <w:t>tective equipment has progressed slowly over this period. Successes have included the deve</w:t>
      </w:r>
      <w:r>
        <w:t>l</w:t>
      </w:r>
      <w:r>
        <w:t>opment of effective nerve agent treatment prot</w:t>
      </w:r>
      <w:r>
        <w:t>o</w:t>
      </w:r>
      <w:r>
        <w:t>cols, chemical warfare agent detectors and ind</w:t>
      </w:r>
      <w:r>
        <w:t>i</w:t>
      </w:r>
      <w:r>
        <w:t>vidual protective equipment.</w:t>
      </w:r>
    </w:p>
    <w:p w14:paraId="15E54230" w14:textId="77777777" w:rsidR="00693277" w:rsidRDefault="00693277" w:rsidP="00693277">
      <w:pPr>
        <w:pStyle w:val="ArticleHeading"/>
      </w:pPr>
      <w:r>
        <w:t>Risks</w:t>
      </w:r>
    </w:p>
    <w:p w14:paraId="1728F804" w14:textId="77777777" w:rsidR="00693277" w:rsidRDefault="00693277" w:rsidP="00693277">
      <w:pPr>
        <w:pStyle w:val="ArticleFirstPara"/>
      </w:pPr>
      <w:r>
        <w:t>The necessity for continued resourcing, in both monetary and personnel terms, of medical NBC doctrine, research and training, remains. The risk has changed with the demise of the Soviet Union but has not disappeared. In 1993, more than 24 countries are confirmed or suspected of having an offensive chemical warfare pr</w:t>
      </w:r>
      <w:r>
        <w:t>o</w:t>
      </w:r>
      <w:r>
        <w:t>gramme. Fourteen countries have or are su</w:t>
      </w:r>
      <w:r>
        <w:t>s</w:t>
      </w:r>
      <w:r>
        <w:t xml:space="preserve">pected of having an offensive biological warfare programme and </w:t>
      </w:r>
      <w:r>
        <w:lastRenderedPageBreak/>
        <w:t>sixteen countries have co</w:t>
      </w:r>
      <w:r>
        <w:t>n</w:t>
      </w:r>
      <w:r>
        <w:t>firmed or suspected nuclear weapons pr</w:t>
      </w:r>
      <w:r>
        <w:t>o</w:t>
      </w:r>
      <w:r>
        <w:t>grammes. A number of countries have pr</w:t>
      </w:r>
      <w:r>
        <w:t>o</w:t>
      </w:r>
      <w:r>
        <w:t>grammes in two or more of these areas. This represents a marked increase in the number of countries with offensive NBC programmes since 1980.</w:t>
      </w:r>
      <w:r>
        <w:rPr>
          <w:vertAlign w:val="superscript"/>
        </w:rPr>
        <w:t>12</w:t>
      </w:r>
      <w:r>
        <w:t xml:space="preserve"> Notably, Russia has continued research into offensive biological warfare agents despite strong United States and British diplomatic pressure, and trilateral inspections.</w:t>
      </w:r>
      <w:r>
        <w:rPr>
          <w:vertAlign w:val="superscript"/>
        </w:rPr>
        <w:t>13</w:t>
      </w:r>
      <w:r>
        <w:t xml:space="preserve"> In add</w:t>
      </w:r>
      <w:r>
        <w:t>i</w:t>
      </w:r>
      <w:r>
        <w:t>tion, as the Gulf War has illustrated, Allied for</w:t>
      </w:r>
      <w:r>
        <w:t>c</w:t>
      </w:r>
      <w:r>
        <w:t>es continue to be threatened by NBC wea</w:t>
      </w:r>
      <w:r>
        <w:t>p</w:t>
      </w:r>
      <w:r>
        <w:t>ons in certain operational scenarios.</w:t>
      </w:r>
      <w:r>
        <w:rPr>
          <w:vertAlign w:val="superscript"/>
        </w:rPr>
        <w:t xml:space="preserve">14 </w:t>
      </w:r>
      <w:r>
        <w:t xml:space="preserve"> These weapons will continue to pose a threat to Australian for</w:t>
      </w:r>
      <w:r>
        <w:t>c</w:t>
      </w:r>
      <w:r>
        <w:t>es in future deployments regardless of the region or the level of conflict.</w:t>
      </w:r>
    </w:p>
    <w:p w14:paraId="19BF7D5C" w14:textId="77777777" w:rsidR="00693277" w:rsidRDefault="00693277" w:rsidP="00693277">
      <w:pPr>
        <w:pStyle w:val="ArticlePara"/>
      </w:pPr>
      <w:r>
        <w:t>This growth in NBC capability is despite the Geneva Protocol of 1925, the Nuclear Non-Proliferation Treaty of 1968 and the Biological Weapons Convention of 1972. The latter two treaties have suffered because they have not i</w:t>
      </w:r>
      <w:r>
        <w:t>n</w:t>
      </w:r>
      <w:r>
        <w:t>cluded key participants, have not called for gradual disarmament and, in the case of the Bi</w:t>
      </w:r>
      <w:r>
        <w:t>o</w:t>
      </w:r>
      <w:r>
        <w:t>logical Weapons Convention, have not had ad</w:t>
      </w:r>
      <w:r>
        <w:t>e</w:t>
      </w:r>
      <w:r>
        <w:t>quate verification procedures. Periodic review conferences have endeavoured to bolster conf</w:t>
      </w:r>
      <w:r>
        <w:t>i</w:t>
      </w:r>
      <w:r>
        <w:t>dence in the Biological Weapons Conve</w:t>
      </w:r>
      <w:r>
        <w:t>n</w:t>
      </w:r>
      <w:r>
        <w:t>tion by increased openness and communication between participants,</w:t>
      </w:r>
      <w:r>
        <w:rPr>
          <w:vertAlign w:val="superscript"/>
        </w:rPr>
        <w:t>15</w:t>
      </w:r>
      <w:r>
        <w:t xml:space="preserve"> but the success of such measures remains uncertain.</w:t>
      </w:r>
    </w:p>
    <w:p w14:paraId="6238E5F9" w14:textId="77777777" w:rsidR="00693277" w:rsidRDefault="00693277" w:rsidP="00693277">
      <w:pPr>
        <w:pStyle w:val="ArticlePara"/>
      </w:pPr>
      <w:r>
        <w:t>The new Chemical Weapons Convention should address these concerns in the chemical and toxin agent area. The Convention will not come into force until 65 countries have formally ratified it and, if the ratification times of prev</w:t>
      </w:r>
      <w:r>
        <w:t>i</w:t>
      </w:r>
      <w:r>
        <w:t>ous treaties are indicative, ratification may take years. Even then, continued problems are e</w:t>
      </w:r>
      <w:r>
        <w:t>x</w:t>
      </w:r>
      <w:r>
        <w:t>pected with the verification procedures.</w:t>
      </w:r>
    </w:p>
    <w:p w14:paraId="3BDB5A19" w14:textId="77777777" w:rsidR="00693277" w:rsidRDefault="00693277" w:rsidP="00693277">
      <w:pPr>
        <w:pStyle w:val="ArticlePara"/>
      </w:pPr>
      <w:r>
        <w:t>There are related problems. Increased i</w:t>
      </w:r>
      <w:r>
        <w:t>n</w:t>
      </w:r>
      <w:r>
        <w:t>dustrialisation is occurring in many parts of the world. In particular, many countries have large chemical industries which use chemicals like chlorine, phosgene, cyanide and isoc</w:t>
      </w:r>
      <w:r>
        <w:t>y</w:t>
      </w:r>
      <w:r>
        <w:t>anates, in their processes.</w:t>
      </w:r>
      <w:r>
        <w:rPr>
          <w:vertAlign w:val="superscript"/>
        </w:rPr>
        <w:t>16, 17</w:t>
      </w:r>
      <w:r>
        <w:t xml:space="preserve"> The risk of accidents from these industries is not negligible. The nuclear industry has also expanded with the building of many new reactors over the last twenty years. Some, like the ill-fated Chernobyl reactions and the Ignalina reaction in Lithuania, have inhe</w:t>
      </w:r>
      <w:r>
        <w:t>r</w:t>
      </w:r>
      <w:r>
        <w:t>ent design problems.</w:t>
      </w:r>
      <w:r>
        <w:rPr>
          <w:vertAlign w:val="superscript"/>
        </w:rPr>
        <w:t>18</w:t>
      </w:r>
      <w:r>
        <w:t xml:space="preserve"> Conflicts are now deve</w:t>
      </w:r>
      <w:r>
        <w:t>l</w:t>
      </w:r>
      <w:r>
        <w:t>oping in areas where there are established che</w:t>
      </w:r>
      <w:r>
        <w:t>m</w:t>
      </w:r>
      <w:r>
        <w:t>ical, nuclear medicine and even biological r</w:t>
      </w:r>
      <w:r>
        <w:t>e</w:t>
      </w:r>
      <w:r>
        <w:t>search facilities (eg in the Former Republic of Yugoslavia). Accidental or malicious release of agents from one of these facilities is certainly feasible and the toxic gas leak at the Union Ca</w:t>
      </w:r>
      <w:r>
        <w:t>r</w:t>
      </w:r>
      <w:r>
        <w:t>bide plant in Bhopal,</w:t>
      </w:r>
      <w:r>
        <w:rPr>
          <w:vertAlign w:val="superscript"/>
        </w:rPr>
        <w:t>19</w:t>
      </w:r>
      <w:r>
        <w:t xml:space="preserve"> the nuclear reaction acc</w:t>
      </w:r>
      <w:r>
        <w:t>i</w:t>
      </w:r>
      <w:r>
        <w:t>dent at Chernobyl, the explosions at the pluton</w:t>
      </w:r>
      <w:r>
        <w:t>i</w:t>
      </w:r>
      <w:r>
        <w:t>um production facility at Chelya</w:t>
      </w:r>
      <w:r>
        <w:t>b</w:t>
      </w:r>
      <w:r>
        <w:t>insk,</w:t>
      </w:r>
      <w:r>
        <w:rPr>
          <w:vertAlign w:val="superscript"/>
        </w:rPr>
        <w:t>20</w:t>
      </w:r>
      <w:r>
        <w:t xml:space="preserve"> and the accidental release of anthrax from a biological weapons research facility in Sverdlovsk in 1979,</w:t>
      </w:r>
      <w:r>
        <w:rPr>
          <w:vertAlign w:val="superscript"/>
        </w:rPr>
        <w:t>21</w:t>
      </w:r>
      <w:r>
        <w:t xml:space="preserve"> all illustrate the dangers of such relea</w:t>
      </w:r>
      <w:r>
        <w:t>s</w:t>
      </w:r>
      <w:r>
        <w:t>es.</w:t>
      </w:r>
    </w:p>
    <w:p w14:paraId="691C4659" w14:textId="77777777" w:rsidR="00693277" w:rsidRDefault="00693277" w:rsidP="00693277">
      <w:pPr>
        <w:pStyle w:val="ArticleHeading"/>
      </w:pPr>
      <w:r>
        <w:t>Medical NBC Training</w:t>
      </w:r>
    </w:p>
    <w:p w14:paraId="7CC3B94B" w14:textId="77777777" w:rsidR="00693277" w:rsidRDefault="00693277" w:rsidP="00693277">
      <w:pPr>
        <w:pStyle w:val="ArticleFirstPara"/>
      </w:pPr>
      <w:r>
        <w:t>NBC Defence medicine is an area of medicine that is both highly specialised and not routinely considered or taught in a medical setting. Med</w:t>
      </w:r>
      <w:r>
        <w:t>i</w:t>
      </w:r>
      <w:r>
        <w:t>cal expertise in this area is limited in the mil</w:t>
      </w:r>
      <w:r>
        <w:t>i</w:t>
      </w:r>
      <w:r>
        <w:t>tary and is practically non-existent in the civi</w:t>
      </w:r>
      <w:r>
        <w:t>l</w:t>
      </w:r>
      <w:r>
        <w:t>ian area. This deficiency needs to be addressed at a number of different levels. In the military setting, there needs to be training at the par</w:t>
      </w:r>
      <w:r>
        <w:t>a</w:t>
      </w:r>
      <w:r>
        <w:t>medic, first line medical officer, nursing officer and medical service officer level. As low level situations, such as peace-keeping in Rwanda or Somalia, may require the rapid deployment of medical assets, medical personnel need medical NBC training in advance.</w:t>
      </w:r>
    </w:p>
    <w:p w14:paraId="7BA860D6" w14:textId="77777777" w:rsidR="00693277" w:rsidRDefault="00693277" w:rsidP="00693277">
      <w:pPr>
        <w:pStyle w:val="ArticlePara"/>
      </w:pPr>
      <w:r>
        <w:t>To achieve appropriate NBC medical su</w:t>
      </w:r>
      <w:r>
        <w:t>p</w:t>
      </w:r>
      <w:r>
        <w:t>port, medical personnel can either be trained to an appropriate NBC specialist level or be given basic training and supported with specialist teams. The extensive training of all personnel, whilst desirable, is neither practical nor reali</w:t>
      </w:r>
      <w:r>
        <w:t>s</w:t>
      </w:r>
      <w:r>
        <w:t>tic. This training would require in depth instru</w:t>
      </w:r>
      <w:r>
        <w:t>c</w:t>
      </w:r>
      <w:r>
        <w:t>tion in intensive care procedures and in all fa</w:t>
      </w:r>
      <w:r>
        <w:t>c</w:t>
      </w:r>
      <w:r>
        <w:t>ets of NBC defence. This would involve long p</w:t>
      </w:r>
      <w:r>
        <w:t>e</w:t>
      </w:r>
      <w:r>
        <w:t>riods of instruction, attachments to both inte</w:t>
      </w:r>
      <w:r>
        <w:t>n</w:t>
      </w:r>
      <w:r>
        <w:t>sive care and NBC units, and fr</w:t>
      </w:r>
      <w:r>
        <w:t>e</w:t>
      </w:r>
      <w:r>
        <w:t>quent refresher courses. This would be expensive, both in time and money, and is unlikely to be effective due to the high degree of skill fade that occurs when this expertise is not put to constant use.</w:t>
      </w:r>
    </w:p>
    <w:p w14:paraId="0597F5D8" w14:textId="77777777" w:rsidR="00693277" w:rsidRDefault="00693277" w:rsidP="00693277">
      <w:pPr>
        <w:pStyle w:val="ArticlePara"/>
      </w:pPr>
      <w:r>
        <w:t>The basic training of medical personnel with specialist team support is the preferred o</w:t>
      </w:r>
      <w:r>
        <w:t>p</w:t>
      </w:r>
      <w:r>
        <w:t>tion. All medical personnel should be trained to a basic NBC resuscitation level in order to keep the casualty alive until either the patient is me</w:t>
      </w:r>
      <w:r>
        <w:t>d</w:t>
      </w:r>
      <w:r>
        <w:t>ically evacuated to third line care or the unit can be reinforced with medical specialists. Additio</w:t>
      </w:r>
      <w:r>
        <w:t>n</w:t>
      </w:r>
      <w:r>
        <w:t>ally, there is a requirement to identify teams with specialist NBC knowledge who can provide support and advice to medical commanders at short notice. These teams would come primarily from the Aeronautical and Maritime Research Laboratory (AMRL) and the Office of the SGADF.</w:t>
      </w:r>
    </w:p>
    <w:p w14:paraId="31BF1BF0" w14:textId="77777777" w:rsidR="00693277" w:rsidRDefault="00693277" w:rsidP="00693277">
      <w:pPr>
        <w:pStyle w:val="ArticlePara"/>
      </w:pPr>
      <w:r>
        <w:t>This training should fulfil a number of criteria. Firstly, it should be tri-service and should utilise tri-service resources. The princ</w:t>
      </w:r>
      <w:r>
        <w:t>i</w:t>
      </w:r>
      <w:r>
        <w:t>ples of treatment are applicable to all three se</w:t>
      </w:r>
      <w:r>
        <w:t>r</w:t>
      </w:r>
      <w:r>
        <w:t>vices and this course would complement the ge</w:t>
      </w:r>
      <w:r>
        <w:t>n</w:t>
      </w:r>
      <w:r>
        <w:t>eral single service NBC courses. It would also form a good foundation from which the st</w:t>
      </w:r>
      <w:r>
        <w:t>u</w:t>
      </w:r>
      <w:r>
        <w:t>dent could progress onto other more advanced courses like the Medical Officers NBC Course and the Defence Radiation Protection Officers Course. Secondly, the training should be based on the basic resuscitative principles outlined in the Early Management of Severe Trauma concept. These concepts, once developed, can be applied to other industrial toxicological eme</w:t>
      </w:r>
      <w:r>
        <w:t>r</w:t>
      </w:r>
      <w:r>
        <w:t xml:space="preserve">gencies and could be usefully applied in the medical training of civilian health personnel. Thirdly, the training should initially be directed at all junior medical and health service officers who may be required to put these concepts into action. Courses for </w:t>
      </w:r>
      <w:r>
        <w:lastRenderedPageBreak/>
        <w:t>paramedics and other health service personnel would be developed to teach these principles whilst incorporating their specialist roles. Med</w:t>
      </w:r>
      <w:r>
        <w:t>i</w:t>
      </w:r>
      <w:r>
        <w:t>cal specialists providing third and fourth line care would also receive appropriately directed courses to enable them to carry out their fun</w:t>
      </w:r>
      <w:r>
        <w:t>c</w:t>
      </w:r>
      <w:r>
        <w:t>tion. These specialists will form the Reserve n</w:t>
      </w:r>
      <w:r>
        <w:t>u</w:t>
      </w:r>
      <w:r>
        <w:t>cleus from which a coherent response can be d</w:t>
      </w:r>
      <w:r>
        <w:t>e</w:t>
      </w:r>
      <w:r>
        <w:t>veloped by the Departments of Health. Revision courses every three years would ensure that the medical personnel would remain current. Fina</w:t>
      </w:r>
      <w:r>
        <w:t>l</w:t>
      </w:r>
      <w:r>
        <w:t>ly, the training should provide the treatment protocols and handbooks to support the medical person in the field and should be overseen by an appropriately trained medical adviser.</w:t>
      </w:r>
    </w:p>
    <w:p w14:paraId="0B9F9012" w14:textId="77777777" w:rsidR="00693277" w:rsidRDefault="00693277" w:rsidP="00693277">
      <w:pPr>
        <w:keepNext/>
        <w:framePr w:w="9594" w:hSpace="181" w:vSpace="142" w:wrap="notBeside" w:vAnchor="page" w:hAnchor="margin" w:xAlign="right" w:y="7383"/>
      </w:pPr>
      <w:r>
        <w:object w:dxaOrig="9609" w:dyaOrig="7502" w14:anchorId="76678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75pt" o:ole="">
            <v:imagedata r:id="rId11" o:title=""/>
          </v:shape>
          <o:OLEObject Type="Embed" ProgID="Word.Document.8" ShapeID="_x0000_i1025" DrawAspect="Content" ObjectID="_1586850929" r:id="rId12"/>
        </w:object>
      </w:r>
    </w:p>
    <w:p w14:paraId="0366B9C4" w14:textId="77777777" w:rsidR="00693277" w:rsidRDefault="00693277" w:rsidP="00693277">
      <w:pPr>
        <w:pStyle w:val="Caption"/>
        <w:framePr w:w="9594" w:hSpace="181" w:vSpace="142" w:wrap="notBeside" w:vAnchor="page" w:hAnchor="margin" w:xAlign="right" w:y="7383"/>
      </w:pPr>
      <w:r>
        <w:t xml:space="preserve">Figure </w:t>
      </w:r>
      <w:r>
        <w:fldChar w:fldCharType="begin"/>
      </w:r>
      <w:r>
        <w:instrText xml:space="preserve"> SEQ Figure \* ARABIC </w:instrText>
      </w:r>
      <w:r>
        <w:fldChar w:fldCharType="separate"/>
      </w:r>
      <w:r>
        <w:rPr>
          <w:noProof/>
        </w:rPr>
        <w:t>1</w:t>
      </w:r>
      <w:r>
        <w:fldChar w:fldCharType="end"/>
      </w:r>
      <w:r>
        <w:t>.  BATLS (NBC)</w:t>
      </w:r>
      <w:r>
        <w:rPr>
          <w:vertAlign w:val="superscript"/>
        </w:rPr>
        <w:t>24</w:t>
      </w:r>
    </w:p>
    <w:p w14:paraId="16F142A9" w14:textId="77777777" w:rsidR="00693277" w:rsidRDefault="00693277" w:rsidP="00693277">
      <w:pPr>
        <w:pStyle w:val="ArticlePara"/>
      </w:pPr>
      <w:r>
        <w:t>The most effective way of training health service personnel is to tie the NBC training in with current training. Early Management of S</w:t>
      </w:r>
      <w:r>
        <w:t>e</w:t>
      </w:r>
      <w:r>
        <w:t>vere Trauma (EMST) courses are already part of the general training of all ADF medical off</w:t>
      </w:r>
      <w:r>
        <w:t>i</w:t>
      </w:r>
      <w:r>
        <w:t xml:space="preserve">cers. Whilst extremely useful in what they achieve, the EMST courses have some disadvantage in the military context. Firstly, they are targeted at civilian trauma primarily and not at Combat Casualty Care. Secondly, they are principally designed for medical officers and not other health </w:t>
      </w:r>
      <w:r>
        <w:t>service personnel.</w:t>
      </w:r>
      <w:r>
        <w:rPr>
          <w:vertAlign w:val="superscript"/>
        </w:rPr>
        <w:t>22</w:t>
      </w:r>
      <w:r>
        <w:t xml:space="preserve"> The United States Army runs Combat Casualty Care courses inco</w:t>
      </w:r>
      <w:r>
        <w:t>r</w:t>
      </w:r>
      <w:r>
        <w:t>porating EMST, but still provide minimal tra</w:t>
      </w:r>
      <w:r>
        <w:t>u</w:t>
      </w:r>
      <w:r>
        <w:t>ma management training, military or otherwise, to their corpsman.</w:t>
      </w:r>
      <w:r>
        <w:rPr>
          <w:vertAlign w:val="superscript"/>
        </w:rPr>
        <w:t>23</w:t>
      </w:r>
      <w:r>
        <w:t xml:space="preserve"> The Royal Army Medical Corps runs both battle orientated EMST courses (Battlefield Advanced Trauma Life Support - BATLS) and EMST courses for military par</w:t>
      </w:r>
      <w:r>
        <w:t>a</w:t>
      </w:r>
      <w:r>
        <w:t>medics and other health service personnel. These concepts are being considered in the d</w:t>
      </w:r>
      <w:r>
        <w:t>e</w:t>
      </w:r>
      <w:r>
        <w:t>velopment of an Australian Combat Casualty Care course.</w:t>
      </w:r>
    </w:p>
    <w:p w14:paraId="4097188C" w14:textId="77777777" w:rsidR="00693277" w:rsidRDefault="00693277" w:rsidP="00693277">
      <w:pPr>
        <w:pStyle w:val="ArticlePara"/>
      </w:pPr>
      <w:r>
        <w:t>EMST principles can be applied not only to trauma and burns but also to the medical management of NBC casualties. To implement these concepts a BATLS(NBC) course is being jointly developed between the United Kingdom and Australia. The BATLS(NBC) course would be a short course designed to give the basics of the medical management of NBC to students. It would be divided into 3 modules:</w:t>
      </w:r>
    </w:p>
    <w:p w14:paraId="7F9593D0" w14:textId="77777777" w:rsidR="00693277" w:rsidRDefault="00693277" w:rsidP="00693277">
      <w:pPr>
        <w:pStyle w:val="ArticlePara"/>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993"/>
        <w:gridCol w:w="3333"/>
      </w:tblGrid>
      <w:tr w:rsidR="00693277" w14:paraId="10DE87C8" w14:textId="77777777" w:rsidTr="00415CDC">
        <w:tblPrEx>
          <w:tblCellMar>
            <w:top w:w="0" w:type="dxa"/>
            <w:bottom w:w="0" w:type="dxa"/>
          </w:tblCellMar>
        </w:tblPrEx>
        <w:tc>
          <w:tcPr>
            <w:tcW w:w="993" w:type="dxa"/>
          </w:tcPr>
          <w:p w14:paraId="2854946A" w14:textId="77777777" w:rsidR="00693277" w:rsidRDefault="00693277" w:rsidP="00415CDC">
            <w:pPr>
              <w:pStyle w:val="Table"/>
            </w:pPr>
            <w:r>
              <w:lastRenderedPageBreak/>
              <w:br w:type="column"/>
              <w:t>Module 1</w:t>
            </w:r>
          </w:p>
          <w:p w14:paraId="4FCE781B" w14:textId="77777777" w:rsidR="00693277" w:rsidRDefault="00693277" w:rsidP="00415CDC">
            <w:pPr>
              <w:pStyle w:val="Table"/>
            </w:pPr>
          </w:p>
        </w:tc>
        <w:tc>
          <w:tcPr>
            <w:tcW w:w="3333" w:type="dxa"/>
          </w:tcPr>
          <w:p w14:paraId="3EE2763B" w14:textId="77777777" w:rsidR="00693277" w:rsidRDefault="00693277" w:rsidP="00415CDC">
            <w:pPr>
              <w:pStyle w:val="Table"/>
            </w:pPr>
            <w:r>
              <w:t>Introductory lectures covering NBC risks, concepts of NBC defence and medical NBC do</w:t>
            </w:r>
            <w:r>
              <w:t>c</w:t>
            </w:r>
            <w:r>
              <w:t>trine.</w:t>
            </w:r>
          </w:p>
        </w:tc>
      </w:tr>
      <w:tr w:rsidR="00693277" w14:paraId="1F5763B1" w14:textId="77777777" w:rsidTr="00415CDC">
        <w:tblPrEx>
          <w:tblCellMar>
            <w:top w:w="0" w:type="dxa"/>
            <w:bottom w:w="0" w:type="dxa"/>
          </w:tblCellMar>
        </w:tblPrEx>
        <w:tc>
          <w:tcPr>
            <w:tcW w:w="993" w:type="dxa"/>
          </w:tcPr>
          <w:p w14:paraId="440BCF09" w14:textId="77777777" w:rsidR="00693277" w:rsidRDefault="00693277" w:rsidP="00415CDC">
            <w:pPr>
              <w:pStyle w:val="Table"/>
            </w:pPr>
            <w:r>
              <w:t>Module 2</w:t>
            </w:r>
          </w:p>
        </w:tc>
        <w:tc>
          <w:tcPr>
            <w:tcW w:w="3333" w:type="dxa"/>
          </w:tcPr>
          <w:p w14:paraId="14125BC5" w14:textId="77777777" w:rsidR="00693277" w:rsidRDefault="00693277" w:rsidP="00415CDC">
            <w:pPr>
              <w:pStyle w:val="Table"/>
            </w:pPr>
            <w:r>
              <w:t>Symptomatology, diagnostic algorithms and treatment prot</w:t>
            </w:r>
            <w:r>
              <w:t>o</w:t>
            </w:r>
            <w:r>
              <w:t>cols.</w:t>
            </w:r>
          </w:p>
        </w:tc>
      </w:tr>
      <w:tr w:rsidR="00693277" w14:paraId="493AD6C9" w14:textId="77777777" w:rsidTr="00415CDC">
        <w:tblPrEx>
          <w:tblCellMar>
            <w:top w:w="0" w:type="dxa"/>
            <w:bottom w:w="0" w:type="dxa"/>
          </w:tblCellMar>
        </w:tblPrEx>
        <w:tc>
          <w:tcPr>
            <w:tcW w:w="993" w:type="dxa"/>
          </w:tcPr>
          <w:p w14:paraId="76984FF2" w14:textId="77777777" w:rsidR="00693277" w:rsidRDefault="00693277" w:rsidP="00415CDC">
            <w:pPr>
              <w:pStyle w:val="Table"/>
            </w:pPr>
            <w:r>
              <w:t>Module 3</w:t>
            </w:r>
          </w:p>
        </w:tc>
        <w:tc>
          <w:tcPr>
            <w:tcW w:w="3333" w:type="dxa"/>
          </w:tcPr>
          <w:p w14:paraId="4C3FDE2A" w14:textId="77777777" w:rsidR="00693277" w:rsidRDefault="00693277" w:rsidP="00415CDC">
            <w:pPr>
              <w:pStyle w:val="Table"/>
            </w:pPr>
            <w:r>
              <w:t>Scenario based exercises for each of the NBC subjects. This phase will include short briefs on intelligence, delivery systems, hazards and the specifics of management of NBC casua</w:t>
            </w:r>
            <w:r>
              <w:t>l</w:t>
            </w:r>
            <w:r>
              <w:t>ties.</w:t>
            </w:r>
          </w:p>
        </w:tc>
      </w:tr>
    </w:tbl>
    <w:p w14:paraId="714EBB94" w14:textId="77777777" w:rsidR="00693277" w:rsidRDefault="00693277" w:rsidP="00693277">
      <w:pPr>
        <w:pStyle w:val="ArticlePara"/>
      </w:pPr>
    </w:p>
    <w:p w14:paraId="747EFF71" w14:textId="77777777" w:rsidR="00693277" w:rsidRDefault="00693277" w:rsidP="00693277">
      <w:pPr>
        <w:pStyle w:val="ArticlePara"/>
      </w:pPr>
      <w:r>
        <w:t>This structuring will allow one or more of the modules to be exported. The modular sy</w:t>
      </w:r>
      <w:r>
        <w:t>s</w:t>
      </w:r>
      <w:r>
        <w:t>tem can be adapted to the different groups needs. Module 2 alone will fulfil many of the requir</w:t>
      </w:r>
      <w:r>
        <w:t>e</w:t>
      </w:r>
      <w:r>
        <w:t>ments for paramedic training whilst Module 3 may be adapted to the specialist requir</w:t>
      </w:r>
      <w:r>
        <w:t>e</w:t>
      </w:r>
      <w:r>
        <w:t>ments of nursing officers, dental officers, medical admi</w:t>
      </w:r>
      <w:r>
        <w:t>n</w:t>
      </w:r>
      <w:r>
        <w:t>istration officers and specialist med</w:t>
      </w:r>
      <w:r>
        <w:t>i</w:t>
      </w:r>
      <w:r>
        <w:t>cal officers. As well as developing basic know</w:t>
      </w:r>
      <w:r>
        <w:t>l</w:t>
      </w:r>
      <w:r>
        <w:t>edge across the ADF, this system could be easily incorporated in current courses (Health Service Officers’ A</w:t>
      </w:r>
      <w:r>
        <w:t>c</w:t>
      </w:r>
      <w:r>
        <w:t xml:space="preserve">quaint Course, Phase 4 Training) and would be useful preparation for the Medical Officers NBC Course, which would provide the greater depth of knowledge and </w:t>
      </w:r>
      <w:r>
        <w:t>medical planning skills r</w:t>
      </w:r>
      <w:r>
        <w:t>e</w:t>
      </w:r>
      <w:r>
        <w:t>quired to manage multiple casua</w:t>
      </w:r>
      <w:r>
        <w:t>l</w:t>
      </w:r>
      <w:r>
        <w:t>ties in an NBC environment.</w:t>
      </w:r>
    </w:p>
    <w:p w14:paraId="471A9ACB" w14:textId="77777777" w:rsidR="00693277" w:rsidRDefault="00693277" w:rsidP="00693277">
      <w:pPr>
        <w:pStyle w:val="ArticlePara"/>
      </w:pPr>
      <w:r>
        <w:t>Figure 1 illustrates this concept as it a</w:t>
      </w:r>
      <w:r>
        <w:t>p</w:t>
      </w:r>
      <w:r>
        <w:t>plies to the management of nuclear, biological and chemical casualties respectively. Additiona</w:t>
      </w:r>
      <w:r>
        <w:t>l</w:t>
      </w:r>
      <w:r>
        <w:t>ly, as industrial toxicological problems are of growing concern to both the military and c</w:t>
      </w:r>
      <w:r>
        <w:t>i</w:t>
      </w:r>
      <w:r>
        <w:t>vilian medical communities, these concepts will be pr</w:t>
      </w:r>
      <w:r>
        <w:t>e</w:t>
      </w:r>
      <w:r>
        <w:t>sented to the Royal Colleges for incorp</w:t>
      </w:r>
      <w:r>
        <w:t>o</w:t>
      </w:r>
      <w:r>
        <w:t>ration in their training pr</w:t>
      </w:r>
      <w:r>
        <w:t>o</w:t>
      </w:r>
      <w:r>
        <w:t>grammes.</w:t>
      </w:r>
    </w:p>
    <w:p w14:paraId="62B14A9D" w14:textId="77777777" w:rsidR="00693277" w:rsidRDefault="00693277" w:rsidP="00693277">
      <w:pPr>
        <w:pStyle w:val="ArticleHeading"/>
      </w:pPr>
      <w:r>
        <w:t>Conclusion</w:t>
      </w:r>
    </w:p>
    <w:p w14:paraId="46886651" w14:textId="77777777" w:rsidR="00693277" w:rsidRDefault="00693277" w:rsidP="00693277">
      <w:pPr>
        <w:pStyle w:val="ArticlePara"/>
      </w:pPr>
      <w:r>
        <w:t>Nuclear, biological and chemical warfare remains a military threat as we near the end of the twentieth century. Military medical perso</w:t>
      </w:r>
      <w:r>
        <w:t>n</w:t>
      </w:r>
      <w:r>
        <w:t>nel must be trained to deal with this threat and should be trained in such a way that the resusc</w:t>
      </w:r>
      <w:r>
        <w:t>i</w:t>
      </w:r>
      <w:r>
        <w:t>tative principles learned will be applicable to toxicological emergencies beyond those of NBC warfare. Appropriate medical NBC training and the constant review of NBC medical doctrine, policy and counter-measures, will ensure that military medical personnel are ready for any military co</w:t>
      </w:r>
      <w:r>
        <w:t>n</w:t>
      </w:r>
      <w:r>
        <w:t>tingency, large or small.</w:t>
      </w:r>
    </w:p>
    <w:p w14:paraId="79C9FFDF" w14:textId="77777777" w:rsidR="00693277" w:rsidRDefault="00693277" w:rsidP="00693277">
      <w:pPr>
        <w:pStyle w:val="ArticlePara"/>
        <w:sectPr w:rsidR="00693277">
          <w:footnotePr>
            <w:numRestart w:val="eachPage"/>
          </w:footnotePr>
          <w:type w:val="continuous"/>
          <w:pgSz w:w="11907" w:h="16840"/>
          <w:pgMar w:top="1440" w:right="2552" w:bottom="1440" w:left="851" w:header="720" w:footer="720" w:gutter="0"/>
          <w:cols w:num="2" w:space="284"/>
          <w:noEndnote/>
        </w:sectPr>
      </w:pPr>
    </w:p>
    <w:p w14:paraId="556A1508" w14:textId="77777777" w:rsidR="00693277" w:rsidRDefault="00693277" w:rsidP="00693277">
      <w:pPr>
        <w:pStyle w:val="ArticleFirstPara"/>
      </w:pPr>
    </w:p>
    <w:p w14:paraId="61B5BA08" w14:textId="77777777" w:rsidR="00693277" w:rsidRDefault="00693277" w:rsidP="00693277">
      <w:pPr>
        <w:pStyle w:val="ReferenceHeading"/>
      </w:pPr>
      <w:r>
        <w:t>References:</w:t>
      </w:r>
    </w:p>
    <w:p w14:paraId="13AEB4DA" w14:textId="77777777" w:rsidR="00693277" w:rsidRDefault="00693277" w:rsidP="00693277">
      <w:pPr>
        <w:pStyle w:val="References"/>
        <w:numPr>
          <w:ilvl w:val="0"/>
          <w:numId w:val="1"/>
        </w:numPr>
        <w:ind w:left="284" w:hanging="284"/>
      </w:pPr>
      <w:r>
        <w:t xml:space="preserve">Moore W. Gas Attack! Chemical Warfare 1915-18 and Afterwards. London: </w:t>
      </w:r>
      <w:r>
        <w:rPr>
          <w:i/>
        </w:rPr>
        <w:t>Leo Cooper</w:t>
      </w:r>
      <w:r>
        <w:t>; 1987</w:t>
      </w:r>
    </w:p>
    <w:p w14:paraId="305CD0E9" w14:textId="77777777" w:rsidR="00693277" w:rsidRDefault="00693277" w:rsidP="00693277">
      <w:pPr>
        <w:pStyle w:val="References"/>
        <w:numPr>
          <w:ilvl w:val="0"/>
          <w:numId w:val="1"/>
        </w:numPr>
        <w:ind w:left="284" w:hanging="284"/>
      </w:pPr>
      <w:r>
        <w:t xml:space="preserve">Hersh SM. Chemical and Biological Warfare: America’s Hidden Arsenal. Garden City: </w:t>
      </w:r>
      <w:r>
        <w:rPr>
          <w:i/>
        </w:rPr>
        <w:t>Doubleday Anchor</w:t>
      </w:r>
      <w:r>
        <w:t>; 1969</w:t>
      </w:r>
    </w:p>
    <w:p w14:paraId="73C73995" w14:textId="77777777" w:rsidR="00693277" w:rsidRDefault="00693277" w:rsidP="00693277">
      <w:pPr>
        <w:pStyle w:val="References"/>
        <w:numPr>
          <w:ilvl w:val="0"/>
          <w:numId w:val="1"/>
        </w:numPr>
        <w:ind w:left="284" w:hanging="284"/>
      </w:pPr>
      <w:r>
        <w:t>Spiers EM. Chemical Wa</w:t>
      </w:r>
      <w:r>
        <w:t>r</w:t>
      </w:r>
      <w:r>
        <w:t xml:space="preserve">fare. Urbana: </w:t>
      </w:r>
      <w:r>
        <w:rPr>
          <w:i/>
        </w:rPr>
        <w:t>University of Illinios Press</w:t>
      </w:r>
      <w:r>
        <w:t>; 1986</w:t>
      </w:r>
    </w:p>
    <w:p w14:paraId="3CF8F926" w14:textId="77777777" w:rsidR="00693277" w:rsidRDefault="00693277" w:rsidP="00693277">
      <w:pPr>
        <w:pStyle w:val="References"/>
        <w:numPr>
          <w:ilvl w:val="0"/>
          <w:numId w:val="1"/>
        </w:numPr>
        <w:ind w:left="284" w:hanging="284"/>
      </w:pPr>
      <w:r>
        <w:t xml:space="preserve">Harris R. Paxman J. A Higher Form of Killing. New York: </w:t>
      </w:r>
      <w:r>
        <w:rPr>
          <w:i/>
        </w:rPr>
        <w:t>Noonday Press</w:t>
      </w:r>
      <w:r>
        <w:t>; 1982</w:t>
      </w:r>
    </w:p>
    <w:p w14:paraId="367AEF90" w14:textId="77777777" w:rsidR="00693277" w:rsidRDefault="00693277" w:rsidP="00693277">
      <w:pPr>
        <w:pStyle w:val="References"/>
        <w:numPr>
          <w:ilvl w:val="0"/>
          <w:numId w:val="1"/>
        </w:numPr>
        <w:ind w:left="284" w:hanging="284"/>
      </w:pPr>
      <w:r>
        <w:t xml:space="preserve">Raffle PAB, Lee WR, McCallum RI, Murray R. Hunter’s Diseases of Occupations. London: </w:t>
      </w:r>
      <w:r>
        <w:rPr>
          <w:i/>
        </w:rPr>
        <w:t>Hodder and Stoughton</w:t>
      </w:r>
      <w:r>
        <w:t>; 1987</w:t>
      </w:r>
    </w:p>
    <w:p w14:paraId="2545291A" w14:textId="77777777" w:rsidR="00693277" w:rsidRDefault="00693277" w:rsidP="00693277">
      <w:pPr>
        <w:pStyle w:val="References"/>
        <w:numPr>
          <w:ilvl w:val="0"/>
          <w:numId w:val="1"/>
        </w:numPr>
        <w:ind w:left="284" w:hanging="284"/>
      </w:pPr>
      <w:r>
        <w:t xml:space="preserve">Stockholm International Peace Research Institute. The Problem of Chemical and Biological Warfare, Volume 1. New York: </w:t>
      </w:r>
      <w:r>
        <w:rPr>
          <w:i/>
        </w:rPr>
        <w:t>Humanities Press</w:t>
      </w:r>
      <w:r>
        <w:t>; 1971</w:t>
      </w:r>
    </w:p>
    <w:p w14:paraId="6946905A" w14:textId="77777777" w:rsidR="00693277" w:rsidRDefault="00693277" w:rsidP="00693277">
      <w:pPr>
        <w:pStyle w:val="References"/>
        <w:numPr>
          <w:ilvl w:val="0"/>
          <w:numId w:val="1"/>
        </w:numPr>
        <w:ind w:left="284" w:hanging="284"/>
      </w:pPr>
      <w:r>
        <w:t xml:space="preserve">Derbes VJ. De Mussis and the Great Plague of 1348. </w:t>
      </w:r>
      <w:r>
        <w:rPr>
          <w:i/>
        </w:rPr>
        <w:t>JAMA</w:t>
      </w:r>
      <w:r>
        <w:t xml:space="preserve"> 1966; 196(1): 179-82</w:t>
      </w:r>
    </w:p>
    <w:p w14:paraId="531CB897" w14:textId="77777777" w:rsidR="00693277" w:rsidRDefault="00693277" w:rsidP="00693277">
      <w:pPr>
        <w:pStyle w:val="References"/>
        <w:numPr>
          <w:ilvl w:val="0"/>
          <w:numId w:val="1"/>
        </w:numPr>
        <w:ind w:left="284" w:hanging="284"/>
      </w:pPr>
      <w:r>
        <w:t xml:space="preserve">Williams P, Wallace D. Unit 731. London: </w:t>
      </w:r>
      <w:r>
        <w:rPr>
          <w:i/>
        </w:rPr>
        <w:t>Hodder and Stoughton</w:t>
      </w:r>
      <w:r>
        <w:t>; 1989</w:t>
      </w:r>
    </w:p>
    <w:p w14:paraId="0FE26847" w14:textId="77777777" w:rsidR="00693277" w:rsidRDefault="00693277" w:rsidP="00693277">
      <w:pPr>
        <w:pStyle w:val="References"/>
        <w:numPr>
          <w:ilvl w:val="0"/>
          <w:numId w:val="1"/>
        </w:numPr>
        <w:ind w:left="284" w:hanging="284"/>
      </w:pPr>
      <w:r>
        <w:t xml:space="preserve">Hersey J. Hiroshima. New York: </w:t>
      </w:r>
      <w:r>
        <w:rPr>
          <w:i/>
        </w:rPr>
        <w:t>Alfred. A. Knopf</w:t>
      </w:r>
      <w:r>
        <w:t>; 1985</w:t>
      </w:r>
    </w:p>
    <w:p w14:paraId="7BC72316" w14:textId="77777777" w:rsidR="00693277" w:rsidRDefault="00693277" w:rsidP="00693277">
      <w:pPr>
        <w:pStyle w:val="References"/>
        <w:numPr>
          <w:ilvl w:val="0"/>
          <w:numId w:val="1"/>
        </w:numPr>
        <w:ind w:left="284" w:hanging="284"/>
      </w:pPr>
      <w:r>
        <w:t>Walker RI, Conklin JJ. Mil</w:t>
      </w:r>
      <w:r>
        <w:t>i</w:t>
      </w:r>
      <w:r>
        <w:t xml:space="preserve">tary Radiobiology. Orlando: </w:t>
      </w:r>
      <w:r>
        <w:rPr>
          <w:i/>
        </w:rPr>
        <w:t>Academic Press</w:t>
      </w:r>
      <w:r>
        <w:t>; 1987</w:t>
      </w:r>
    </w:p>
    <w:p w14:paraId="219A0525" w14:textId="77777777" w:rsidR="00693277" w:rsidRDefault="00693277" w:rsidP="00693277">
      <w:pPr>
        <w:pStyle w:val="References"/>
        <w:numPr>
          <w:ilvl w:val="0"/>
          <w:numId w:val="1"/>
        </w:numPr>
        <w:ind w:left="284" w:hanging="284"/>
      </w:pPr>
      <w:r>
        <w:t xml:space="preserve">Chant C, Hogg I. The Nuclear War File. London: </w:t>
      </w:r>
      <w:r>
        <w:rPr>
          <w:i/>
        </w:rPr>
        <w:t>Ebury Press</w:t>
      </w:r>
      <w:r>
        <w:t>; 1987</w:t>
      </w:r>
    </w:p>
    <w:p w14:paraId="2CC4238D" w14:textId="77777777" w:rsidR="00693277" w:rsidRDefault="00693277" w:rsidP="00693277">
      <w:pPr>
        <w:pStyle w:val="References"/>
        <w:numPr>
          <w:ilvl w:val="0"/>
          <w:numId w:val="1"/>
        </w:numPr>
        <w:ind w:left="284" w:hanging="284"/>
      </w:pPr>
      <w:r>
        <w:t xml:space="preserve">Neumann RC. Weapons of mass destruction and force protection. </w:t>
      </w:r>
      <w:r>
        <w:rPr>
          <w:i/>
        </w:rPr>
        <w:t>Army Chem</w:t>
      </w:r>
      <w:r>
        <w:t xml:space="preserve"> 1994; 3-8</w:t>
      </w:r>
    </w:p>
    <w:p w14:paraId="7B949A28" w14:textId="77777777" w:rsidR="00693277" w:rsidRDefault="00693277" w:rsidP="00693277">
      <w:pPr>
        <w:pStyle w:val="References"/>
        <w:numPr>
          <w:ilvl w:val="0"/>
          <w:numId w:val="1"/>
        </w:numPr>
        <w:ind w:left="284" w:hanging="284"/>
      </w:pPr>
      <w:r>
        <w:t xml:space="preserve">Adams J. The New Spies. London: </w:t>
      </w:r>
      <w:r>
        <w:rPr>
          <w:i/>
        </w:rPr>
        <w:t>Hutchinson</w:t>
      </w:r>
      <w:r>
        <w:t>; 1994</w:t>
      </w:r>
    </w:p>
    <w:p w14:paraId="0EEAEABE" w14:textId="77777777" w:rsidR="00693277" w:rsidRDefault="00693277" w:rsidP="00693277">
      <w:pPr>
        <w:pStyle w:val="References"/>
        <w:numPr>
          <w:ilvl w:val="0"/>
          <w:numId w:val="1"/>
        </w:numPr>
        <w:ind w:left="284" w:hanging="284"/>
      </w:pPr>
      <w:r>
        <w:t xml:space="preserve">Scales RH. Certain Victory: United States Army in the Gulf War. Washington: </w:t>
      </w:r>
      <w:r>
        <w:rPr>
          <w:i/>
        </w:rPr>
        <w:t>Office of Chief of Staff USA</w:t>
      </w:r>
      <w:r>
        <w:t>; 1993</w:t>
      </w:r>
    </w:p>
    <w:p w14:paraId="653C3863" w14:textId="77777777" w:rsidR="00693277" w:rsidRDefault="00693277" w:rsidP="00693277">
      <w:pPr>
        <w:pStyle w:val="References"/>
        <w:numPr>
          <w:ilvl w:val="0"/>
          <w:numId w:val="1"/>
        </w:numPr>
        <w:ind w:left="284" w:hanging="284"/>
      </w:pPr>
      <w:r>
        <w:t xml:space="preserve">Crone HD. Banning Chemical Weapons. Cambridge: </w:t>
      </w:r>
      <w:r>
        <w:rPr>
          <w:i/>
        </w:rPr>
        <w:t>Cambridge University Press</w:t>
      </w:r>
      <w:r>
        <w:t>; 1992</w:t>
      </w:r>
    </w:p>
    <w:p w14:paraId="524C251A" w14:textId="77777777" w:rsidR="00693277" w:rsidRDefault="00693277" w:rsidP="00693277">
      <w:pPr>
        <w:pStyle w:val="References"/>
        <w:numPr>
          <w:ilvl w:val="0"/>
          <w:numId w:val="1"/>
        </w:numPr>
        <w:ind w:left="284" w:hanging="284"/>
      </w:pPr>
      <w:r>
        <w:t>Murray V. Non-infectious environmental hazards for Consultants in Communicable Disease Control. Paper presented at the Consultants in Communicable Disease Control Conference, December 1993; Winterbourne Gunner</w:t>
      </w:r>
    </w:p>
    <w:p w14:paraId="4E3828F1" w14:textId="77777777" w:rsidR="00693277" w:rsidRDefault="00693277" w:rsidP="00693277">
      <w:pPr>
        <w:pStyle w:val="References"/>
        <w:numPr>
          <w:ilvl w:val="0"/>
          <w:numId w:val="1"/>
        </w:numPr>
        <w:ind w:left="284" w:hanging="284"/>
      </w:pPr>
      <w:r>
        <w:t xml:space="preserve">Leffingwell SS. Public health aspects of chemical warfare agents. </w:t>
      </w:r>
      <w:r>
        <w:rPr>
          <w:i/>
        </w:rPr>
        <w:t>In</w:t>
      </w:r>
      <w:r>
        <w:t xml:space="preserve">: Somani SM, editor. Chemical Warfare Agents. San Diego: </w:t>
      </w:r>
      <w:r>
        <w:rPr>
          <w:i/>
        </w:rPr>
        <w:t>Academic Press</w:t>
      </w:r>
      <w:r>
        <w:t>; 1992: 323-39</w:t>
      </w:r>
    </w:p>
    <w:p w14:paraId="5B877EDD" w14:textId="77777777" w:rsidR="00693277" w:rsidRDefault="00693277" w:rsidP="00693277">
      <w:pPr>
        <w:pStyle w:val="References"/>
        <w:numPr>
          <w:ilvl w:val="0"/>
          <w:numId w:val="1"/>
        </w:numPr>
        <w:ind w:left="284" w:hanging="284"/>
      </w:pPr>
      <w:r>
        <w:t xml:space="preserve">Read PP. Ablaze. New York: </w:t>
      </w:r>
      <w:r>
        <w:rPr>
          <w:i/>
        </w:rPr>
        <w:t>Random House</w:t>
      </w:r>
      <w:r>
        <w:t>: 1993</w:t>
      </w:r>
    </w:p>
    <w:p w14:paraId="781AD1E7" w14:textId="77777777" w:rsidR="00693277" w:rsidRDefault="00693277" w:rsidP="00693277">
      <w:pPr>
        <w:pStyle w:val="References"/>
        <w:numPr>
          <w:ilvl w:val="0"/>
          <w:numId w:val="1"/>
        </w:numPr>
        <w:ind w:left="284" w:hanging="284"/>
      </w:pPr>
      <w:r>
        <w:t xml:space="preserve">Singh VP. Sociopsychological perspectives on chemical warfare. </w:t>
      </w:r>
      <w:r>
        <w:rPr>
          <w:i/>
        </w:rPr>
        <w:t>In</w:t>
      </w:r>
      <w:r>
        <w:t xml:space="preserve">: Somani SM, editor. Chemical Warfare Agents. San Diego: </w:t>
      </w:r>
      <w:r>
        <w:rPr>
          <w:i/>
        </w:rPr>
        <w:t>Academic Press</w:t>
      </w:r>
      <w:r>
        <w:t>; 1992: 1-12</w:t>
      </w:r>
    </w:p>
    <w:p w14:paraId="37F38128" w14:textId="77777777" w:rsidR="00693277" w:rsidRDefault="00693277" w:rsidP="00693277">
      <w:pPr>
        <w:pStyle w:val="References"/>
        <w:numPr>
          <w:ilvl w:val="0"/>
          <w:numId w:val="1"/>
        </w:numPr>
        <w:ind w:left="284" w:hanging="284"/>
      </w:pPr>
      <w:r>
        <w:t xml:space="preserve">Collins DL. Behavioural differences of irradiated persons associated with the Kyshtym, Chelyabinsk and Chernobyl nuclear accidents. </w:t>
      </w:r>
      <w:r>
        <w:rPr>
          <w:i/>
        </w:rPr>
        <w:t>Mil Med</w:t>
      </w:r>
      <w:r>
        <w:t xml:space="preserve"> 1992; 157(10):548-52</w:t>
      </w:r>
    </w:p>
    <w:p w14:paraId="13AEA749" w14:textId="77777777" w:rsidR="00693277" w:rsidRDefault="00693277" w:rsidP="00693277">
      <w:pPr>
        <w:pStyle w:val="References"/>
        <w:numPr>
          <w:ilvl w:val="0"/>
          <w:numId w:val="1"/>
        </w:numPr>
        <w:ind w:left="284" w:hanging="284"/>
      </w:pPr>
      <w:r>
        <w:t xml:space="preserve">Abramova FA, Grinberg LM, Yampolskaya OV, Walker DH. Pathology of inhalational anthrax in 42 cases from the Sverdlovsk outbreak of 1979. </w:t>
      </w:r>
      <w:r>
        <w:rPr>
          <w:i/>
        </w:rPr>
        <w:t>Proc Nat Acad Sci</w:t>
      </w:r>
      <w:r>
        <w:t>: USA 1993; 90:2291-4</w:t>
      </w:r>
    </w:p>
    <w:p w14:paraId="2E546780" w14:textId="77777777" w:rsidR="00693277" w:rsidRDefault="00693277" w:rsidP="00693277">
      <w:pPr>
        <w:pStyle w:val="References"/>
        <w:numPr>
          <w:ilvl w:val="0"/>
          <w:numId w:val="1"/>
        </w:numPr>
        <w:ind w:left="284" w:hanging="284"/>
      </w:pPr>
      <w:r>
        <w:t xml:space="preserve">Baker MS. Advanced Trauma Life Support: Is it adequate stand alone training? </w:t>
      </w:r>
      <w:r>
        <w:rPr>
          <w:i/>
        </w:rPr>
        <w:t>Mil Med</w:t>
      </w:r>
      <w:r>
        <w:t xml:space="preserve"> 1994; 159(9):587-90</w:t>
      </w:r>
    </w:p>
    <w:p w14:paraId="77135404" w14:textId="77777777" w:rsidR="00693277" w:rsidRDefault="00693277" w:rsidP="00693277">
      <w:pPr>
        <w:pStyle w:val="References"/>
        <w:numPr>
          <w:ilvl w:val="0"/>
          <w:numId w:val="1"/>
        </w:numPr>
        <w:ind w:left="284" w:hanging="284"/>
      </w:pPr>
      <w:r>
        <w:t xml:space="preserve">Koehler RH, Smith RS, Bacaner T. Triage of American combat casualties: The need for change. </w:t>
      </w:r>
      <w:r>
        <w:rPr>
          <w:i/>
        </w:rPr>
        <w:t>Mil Med</w:t>
      </w:r>
      <w:r>
        <w:t xml:space="preserve"> 1994; 159(8):541-8</w:t>
      </w:r>
    </w:p>
    <w:p w14:paraId="3B8B1856" w14:textId="77777777" w:rsidR="00693277" w:rsidRDefault="00693277" w:rsidP="00693277">
      <w:pPr>
        <w:pStyle w:val="References"/>
        <w:numPr>
          <w:ilvl w:val="0"/>
          <w:numId w:val="1"/>
        </w:numPr>
        <w:ind w:left="284" w:hanging="284"/>
      </w:pPr>
      <w:r>
        <w:t xml:space="preserve">Robertson AG, Morgan-Jones DJ. First line Nuclear, Biological and Chemical Defence training - the way ahead. </w:t>
      </w:r>
      <w:r>
        <w:rPr>
          <w:i/>
        </w:rPr>
        <w:t>J Roy Nav Med Serv</w:t>
      </w:r>
      <w:r>
        <w:t xml:space="preserve"> 1994; 80:90-4</w:t>
      </w:r>
    </w:p>
    <w:p w14:paraId="623170E2" w14:textId="77777777" w:rsidR="00693277" w:rsidRDefault="00693277" w:rsidP="00693277">
      <w:pPr>
        <w:pStyle w:val="ArticleFirstPara"/>
        <w:sectPr w:rsidR="00693277">
          <w:footnotePr>
            <w:numRestart w:val="eachPage"/>
          </w:footnotePr>
          <w:type w:val="continuous"/>
          <w:pgSz w:w="11907" w:h="16840" w:code="9"/>
          <w:pgMar w:top="1440" w:right="2552" w:bottom="1440" w:left="851" w:header="720" w:footer="720" w:gutter="0"/>
          <w:cols w:space="284"/>
        </w:sectPr>
      </w:pPr>
    </w:p>
    <w:p w14:paraId="1DC47F8C" w14:textId="77777777" w:rsidR="00693277" w:rsidRDefault="00693277" w:rsidP="00693277">
      <w:pPr>
        <w:sectPr w:rsidR="00693277">
          <w:headerReference w:type="even" r:id="rId13"/>
          <w:headerReference w:type="default" r:id="rId14"/>
          <w:footerReference w:type="even" r:id="rId15"/>
          <w:footerReference w:type="default" r:id="rId16"/>
          <w:footnotePr>
            <w:numRestart w:val="eachPage"/>
          </w:footnotePr>
          <w:type w:val="continuous"/>
          <w:pgSz w:w="11907" w:h="16840"/>
          <w:pgMar w:top="1440" w:right="2552" w:bottom="1440" w:left="851" w:header="720" w:footer="720" w:gutter="0"/>
          <w:cols w:space="284"/>
          <w:noEndnote/>
        </w:sectPr>
      </w:pPr>
    </w:p>
    <w:p w14:paraId="486F2DD4" w14:textId="77777777" w:rsidR="001E21CA" w:rsidRDefault="001E21CA">
      <w:bookmarkStart w:id="0" w:name="_GoBack"/>
      <w:bookmarkEnd w:id="0"/>
    </w:p>
    <w:sectPr w:rsidR="001E2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5E69" w14:textId="77777777" w:rsidR="00693277" w:rsidRDefault="00693277" w:rsidP="00693277">
      <w:r>
        <w:separator/>
      </w:r>
    </w:p>
  </w:endnote>
  <w:endnote w:type="continuationSeparator" w:id="0">
    <w:p w14:paraId="76CB757F" w14:textId="77777777" w:rsidR="00693277" w:rsidRDefault="00693277" w:rsidP="0069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3D4F" w14:textId="77777777" w:rsidR="00693277" w:rsidRDefault="00693277">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349F" w14:textId="77777777" w:rsidR="00693277" w:rsidRDefault="00693277">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70B8" w14:textId="77777777" w:rsidR="00693277" w:rsidRDefault="00693277">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49DE" w14:textId="77777777" w:rsidR="00693277" w:rsidRDefault="00693277">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AC7C" w14:textId="77777777" w:rsidR="00693277" w:rsidRDefault="00693277" w:rsidP="00693277">
      <w:r>
        <w:separator/>
      </w:r>
    </w:p>
  </w:footnote>
  <w:footnote w:type="continuationSeparator" w:id="0">
    <w:p w14:paraId="522B2E1B" w14:textId="77777777" w:rsidR="00693277" w:rsidRDefault="00693277" w:rsidP="00693277">
      <w:r>
        <w:continuationSeparator/>
      </w:r>
    </w:p>
  </w:footnote>
  <w:footnote w:id="1">
    <w:p w14:paraId="165DD17D" w14:textId="77777777" w:rsidR="00693277" w:rsidRDefault="00693277" w:rsidP="00693277">
      <w:pPr>
        <w:pStyle w:val="FootnoteText"/>
      </w:pPr>
      <w:r>
        <w:rPr>
          <w:rStyle w:val="FootnoteReference"/>
        </w:rPr>
        <w:footnoteRef/>
      </w:r>
      <w:r>
        <w:tab/>
        <w:t xml:space="preserve">Robertson AG, Morgan-Jones DJ. Medical NBC Training - Where to now? </w:t>
      </w:r>
      <w:r>
        <w:rPr>
          <w:i/>
        </w:rPr>
        <w:t>Aust Mil Med</w:t>
      </w:r>
      <w:r>
        <w:t xml:space="preserve"> 1996; 5(3):12-5</w:t>
      </w:r>
    </w:p>
  </w:footnote>
  <w:footnote w:id="2">
    <w:p w14:paraId="283A61A8" w14:textId="77777777" w:rsidR="00693277" w:rsidRDefault="00693277" w:rsidP="00693277">
      <w:pPr>
        <w:pStyle w:val="FootnoteText"/>
      </w:pPr>
      <w:r>
        <w:rPr>
          <w:rStyle w:val="FootnoteReference"/>
        </w:rPr>
        <w:footnoteRef/>
      </w:r>
      <w:r>
        <w:t xml:space="preserve"> </w:t>
      </w:r>
      <w:r>
        <w:tab/>
        <w:t>Andrew Robertson MB BS, MPH, is a specialist in NBC medicine. He is a Lieutenant-Commander in the Royal Australian Navy, currently serving as the Senior Medical Officer, HMAS Sti</w:t>
      </w:r>
      <w:r>
        <w:t>r</w:t>
      </w:r>
      <w:r>
        <w:t>ling.</w:t>
      </w:r>
    </w:p>
  </w:footnote>
  <w:footnote w:id="3">
    <w:p w14:paraId="62C13B2D" w14:textId="77777777" w:rsidR="00693277" w:rsidRDefault="00693277" w:rsidP="00693277">
      <w:pPr>
        <w:pStyle w:val="FootnoteText"/>
      </w:pPr>
      <w:r>
        <w:rPr>
          <w:rStyle w:val="FootnoteReference"/>
        </w:rPr>
        <w:footnoteRef/>
      </w:r>
      <w:r>
        <w:t xml:space="preserve"> </w:t>
      </w:r>
      <w:r>
        <w:tab/>
        <w:t>David Morgan-Jones is a Major in the RAMC presently posted to the Defence NBC Centre at Winterbourne Gunner in the United Kingdom. He served with the British Army in both the Persian Gulf and Bosnia and is an accredited GP supervisor. His current posting involves the development of medical NBC policy for the UK’s Armed Forces and the training of Service Health staff in NBC defence.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22B0" w14:textId="77777777" w:rsidR="00693277" w:rsidRDefault="00693277">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6F70" w14:textId="77777777" w:rsidR="00693277" w:rsidRDefault="00693277">
    <w:pPr>
      <w:pStyle w:val="Header"/>
    </w:pPr>
    <w:r>
      <w:rPr>
        <w:i/>
      </w:rPr>
      <w:t>Volume 5 Number 3, December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396A" w14:textId="77777777" w:rsidR="00693277" w:rsidRDefault="00693277">
    <w:pPr>
      <w:pStyle w:val="Header"/>
      <w:jc w:val="right"/>
    </w:pPr>
    <w:r>
      <w:rPr>
        <w:i/>
      </w:rPr>
      <w:t>Australian Military Medicine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66C6" w14:textId="77777777" w:rsidR="00693277" w:rsidRDefault="00693277">
    <w:pPr>
      <w:pStyle w:val="Header"/>
    </w:pPr>
    <w:r>
      <w:rPr>
        <w:i/>
      </w:rPr>
      <w:t>Volume 5 Number 3, December 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71121"/>
    <w:multiLevelType w:val="singleLevel"/>
    <w:tmpl w:val="9D565B7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77"/>
    <w:rsid w:val="001E21CA"/>
    <w:rsid w:val="0069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53D5"/>
  <w15:chartTrackingRefBased/>
  <w15:docId w15:val="{7EBCCBF6-3A96-4951-9799-3EB1C66A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2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6932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32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32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693277"/>
  </w:style>
  <w:style w:type="paragraph" w:styleId="Header">
    <w:name w:val="header"/>
    <w:basedOn w:val="Normal"/>
    <w:link w:val="HeaderChar"/>
    <w:semiHidden/>
    <w:rsid w:val="00693277"/>
    <w:pPr>
      <w:tabs>
        <w:tab w:val="center" w:pos="4153"/>
        <w:tab w:val="right" w:pos="8306"/>
      </w:tabs>
    </w:pPr>
  </w:style>
  <w:style w:type="character" w:customStyle="1" w:styleId="HeaderChar">
    <w:name w:val="Header Char"/>
    <w:basedOn w:val="DefaultParagraphFont"/>
    <w:link w:val="Header"/>
    <w:semiHidden/>
    <w:rsid w:val="00693277"/>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693277"/>
    <w:pPr>
      <w:tabs>
        <w:tab w:val="center" w:pos="4153"/>
        <w:tab w:val="right" w:pos="8306"/>
      </w:tabs>
    </w:pPr>
  </w:style>
  <w:style w:type="character" w:customStyle="1" w:styleId="FooterChar">
    <w:name w:val="Footer Char"/>
    <w:basedOn w:val="DefaultParagraphFont"/>
    <w:link w:val="Footer"/>
    <w:semiHidden/>
    <w:rsid w:val="00693277"/>
    <w:rPr>
      <w:rFonts w:ascii="Times New Roman" w:eastAsia="Times New Roman" w:hAnsi="Times New Roman" w:cs="Times New Roman"/>
      <w:sz w:val="20"/>
      <w:szCs w:val="20"/>
      <w:lang w:val="en-AU" w:eastAsia="en-AU"/>
    </w:rPr>
  </w:style>
  <w:style w:type="paragraph" w:customStyle="1" w:styleId="ArticleTitle">
    <w:name w:val="Article Title"/>
    <w:basedOn w:val="Heading1"/>
    <w:next w:val="ArticleAuthor"/>
    <w:rsid w:val="00693277"/>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Author">
    <w:name w:val="Article Author"/>
    <w:basedOn w:val="Heading2"/>
    <w:next w:val="ArticleFirstPara"/>
    <w:rsid w:val="00693277"/>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FirstPara">
    <w:name w:val="Article First Para"/>
    <w:basedOn w:val="ArticlePara"/>
    <w:next w:val="ArticlePara"/>
    <w:rsid w:val="00693277"/>
    <w:pPr>
      <w:ind w:firstLine="0"/>
    </w:pPr>
  </w:style>
  <w:style w:type="paragraph" w:customStyle="1" w:styleId="ArticlePara">
    <w:name w:val="Article Para"/>
    <w:basedOn w:val="Normal"/>
    <w:rsid w:val="00693277"/>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693277"/>
    <w:pPr>
      <w:suppressAutoHyphens/>
      <w:spacing w:before="240" w:after="60"/>
      <w:outlineLvl w:val="9"/>
    </w:pPr>
    <w:rPr>
      <w:rFonts w:ascii="Century Schoolbook" w:eastAsia="Times New Roman" w:hAnsi="Century Schoolbook" w:cs="Times New Roman"/>
      <w:b/>
      <w:color w:val="auto"/>
      <w:sz w:val="18"/>
      <w:szCs w:val="20"/>
    </w:rPr>
  </w:style>
  <w:style w:type="paragraph" w:customStyle="1" w:styleId="ReferenceHeading">
    <w:name w:val="Reference Heading"/>
    <w:basedOn w:val="Normal"/>
    <w:next w:val="References"/>
    <w:rsid w:val="00693277"/>
    <w:pPr>
      <w:keepNext/>
    </w:pPr>
    <w:rPr>
      <w:b/>
      <w:sz w:val="24"/>
    </w:rPr>
  </w:style>
  <w:style w:type="paragraph" w:customStyle="1" w:styleId="References">
    <w:name w:val="References"/>
    <w:basedOn w:val="ReferenceHeading"/>
    <w:rsid w:val="00693277"/>
    <w:pPr>
      <w:keepNext w:val="0"/>
      <w:keepLines/>
      <w:suppressAutoHyphens/>
      <w:ind w:left="284" w:hanging="284"/>
    </w:pPr>
    <w:rPr>
      <w:b w:val="0"/>
      <w:sz w:val="18"/>
    </w:rPr>
  </w:style>
  <w:style w:type="paragraph" w:styleId="FootnoteText">
    <w:name w:val="footnote text"/>
    <w:basedOn w:val="Normal"/>
    <w:link w:val="FootnoteTextChar"/>
    <w:semiHidden/>
    <w:rsid w:val="00693277"/>
    <w:pPr>
      <w:keepLines/>
      <w:suppressAutoHyphens/>
      <w:ind w:left="720" w:hanging="720"/>
    </w:pPr>
  </w:style>
  <w:style w:type="character" w:customStyle="1" w:styleId="FootnoteTextChar">
    <w:name w:val="Footnote Text Char"/>
    <w:basedOn w:val="DefaultParagraphFont"/>
    <w:link w:val="FootnoteText"/>
    <w:semiHidden/>
    <w:rsid w:val="00693277"/>
    <w:rPr>
      <w:rFonts w:ascii="Times New Roman" w:eastAsia="Times New Roman" w:hAnsi="Times New Roman" w:cs="Times New Roman"/>
      <w:sz w:val="20"/>
      <w:szCs w:val="20"/>
      <w:lang w:val="en-AU" w:eastAsia="en-AU"/>
    </w:rPr>
  </w:style>
  <w:style w:type="paragraph" w:customStyle="1" w:styleId="Table">
    <w:name w:val="Table"/>
    <w:basedOn w:val="Normal"/>
    <w:rsid w:val="00693277"/>
    <w:pPr>
      <w:keepNext/>
      <w:keepLines/>
      <w:suppressAutoHyphens/>
    </w:pPr>
    <w:rPr>
      <w:sz w:val="18"/>
    </w:rPr>
  </w:style>
  <w:style w:type="paragraph" w:styleId="Caption">
    <w:name w:val="caption"/>
    <w:basedOn w:val="Normal"/>
    <w:next w:val="Normal"/>
    <w:qFormat/>
    <w:rsid w:val="00693277"/>
    <w:pPr>
      <w:keepNext/>
      <w:keepLines/>
      <w:tabs>
        <w:tab w:val="left" w:pos="1134"/>
      </w:tabs>
      <w:suppressAutoHyphens/>
      <w:spacing w:before="120" w:after="120"/>
      <w:ind w:left="1134" w:hanging="1134"/>
      <w:jc w:val="center"/>
    </w:pPr>
    <w:rPr>
      <w:i/>
    </w:rPr>
  </w:style>
  <w:style w:type="character" w:styleId="FootnoteReference">
    <w:name w:val="footnote reference"/>
    <w:semiHidden/>
    <w:rsid w:val="00693277"/>
    <w:rPr>
      <w:vertAlign w:val="superscript"/>
    </w:rPr>
  </w:style>
  <w:style w:type="character" w:customStyle="1" w:styleId="Heading1Char">
    <w:name w:val="Heading 1 Char"/>
    <w:basedOn w:val="DefaultParagraphFont"/>
    <w:link w:val="Heading1"/>
    <w:uiPriority w:val="9"/>
    <w:rsid w:val="00693277"/>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uiPriority w:val="9"/>
    <w:semiHidden/>
    <w:rsid w:val="00693277"/>
    <w:rPr>
      <w:rFonts w:asciiTheme="majorHAnsi" w:eastAsiaTheme="majorEastAsia" w:hAnsiTheme="majorHAnsi" w:cstheme="majorBidi"/>
      <w:color w:val="2F5496" w:themeColor="accent1" w:themeShade="BF"/>
      <w:sz w:val="26"/>
      <w:szCs w:val="26"/>
      <w:lang w:val="en-AU" w:eastAsia="en-AU"/>
    </w:rPr>
  </w:style>
  <w:style w:type="character" w:customStyle="1" w:styleId="Heading3Char">
    <w:name w:val="Heading 3 Char"/>
    <w:basedOn w:val="DefaultParagraphFont"/>
    <w:link w:val="Heading3"/>
    <w:uiPriority w:val="9"/>
    <w:semiHidden/>
    <w:rsid w:val="00693277"/>
    <w:rPr>
      <w:rFonts w:asciiTheme="majorHAnsi" w:eastAsiaTheme="majorEastAsia" w:hAnsiTheme="majorHAnsi" w:cstheme="majorBidi"/>
      <w:color w:val="1F3763"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2018-05-03T01:01:00Z</dcterms:created>
  <dcterms:modified xsi:type="dcterms:W3CDTF">2018-05-03T01:07:00Z</dcterms:modified>
</cp:coreProperties>
</file>