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AF04" w14:textId="77777777" w:rsidR="0070576F" w:rsidRDefault="0070576F" w:rsidP="0070576F">
      <w:pPr>
        <w:pStyle w:val="UpdateSection"/>
      </w:pPr>
      <w:r>
        <w:t>AMMA Update</w:t>
      </w:r>
    </w:p>
    <w:p w14:paraId="1FD705C5" w14:textId="77777777" w:rsidR="0070576F" w:rsidRDefault="0070576F" w:rsidP="0070576F">
      <w:pPr>
        <w:shd w:val="solid" w:color="auto" w:fill="auto"/>
        <w:jc w:val="center"/>
        <w:rPr>
          <w:b/>
        </w:rPr>
      </w:pPr>
      <w:r>
        <w:rPr>
          <w:b/>
          <w:i/>
          <w:sz w:val="28"/>
        </w:rPr>
        <w:t>News and information for members of the Australian Military Medicine Association</w:t>
      </w:r>
    </w:p>
    <w:p w14:paraId="17051DD3" w14:textId="77777777" w:rsidR="0070576F" w:rsidRDefault="0070576F" w:rsidP="0070576F"/>
    <w:p w14:paraId="3A55F787" w14:textId="77777777" w:rsidR="0070576F" w:rsidRDefault="0070576F" w:rsidP="0070576F"/>
    <w:p w14:paraId="0F05C1A6" w14:textId="77777777" w:rsidR="0070576F" w:rsidRDefault="0070576F" w:rsidP="0070576F">
      <w:pPr>
        <w:sectPr w:rsidR="0070576F" w:rsidSect="0070576F">
          <w:headerReference w:type="even" r:id="rId5"/>
          <w:headerReference w:type="default" r:id="rId6"/>
          <w:footerReference w:type="even" r:id="rId7"/>
          <w:footerReference w:type="default" r:id="rId8"/>
          <w:footnotePr>
            <w:numRestart w:val="eachPage"/>
          </w:footnotePr>
          <w:pgSz w:w="11907" w:h="16840"/>
          <w:pgMar w:top="1440" w:right="851" w:bottom="1440" w:left="851" w:header="720" w:footer="720" w:gutter="0"/>
          <w:cols w:space="284"/>
          <w:noEndnote/>
        </w:sectPr>
      </w:pPr>
    </w:p>
    <w:p w14:paraId="6AE2BB58" w14:textId="77777777" w:rsidR="0070576F" w:rsidRDefault="0070576F" w:rsidP="0070576F">
      <w:pPr>
        <w:pStyle w:val="UpdateHeading"/>
        <w:spacing w:before="0"/>
      </w:pPr>
      <w:r>
        <w:t>Successes</w:t>
      </w:r>
    </w:p>
    <w:p w14:paraId="173A0819" w14:textId="77777777" w:rsidR="0070576F" w:rsidRDefault="0070576F" w:rsidP="0070576F">
      <w:pPr>
        <w:pStyle w:val="UpdateFirstPara"/>
      </w:pPr>
      <w:r>
        <w:t>The following AMMA members have achieved success through honours, awards, promotions, publications, etc.</w:t>
      </w:r>
    </w:p>
    <w:p w14:paraId="28555491" w14:textId="77777777" w:rsidR="0070576F" w:rsidRDefault="0070576F" w:rsidP="0070576F">
      <w:pPr>
        <w:pStyle w:val="UpdatePara"/>
      </w:pPr>
    </w:p>
    <w:p w14:paraId="6C99FBF7" w14:textId="77777777" w:rsidR="0070576F" w:rsidRDefault="0070576F" w:rsidP="0070576F">
      <w:pPr>
        <w:pStyle w:val="UpdateFirstPara"/>
        <w:pBdr>
          <w:top w:val="single" w:sz="6" w:space="1" w:color="auto"/>
          <w:left w:val="single" w:sz="6" w:space="1" w:color="auto"/>
          <w:bottom w:val="single" w:sz="6" w:space="1" w:color="auto"/>
          <w:right w:val="single" w:sz="6" w:space="1" w:color="auto"/>
        </w:pBdr>
      </w:pPr>
      <w:r>
        <w:t>Members will note that most of these items relate to Navy. The reason is obvious, and the Editor would remind readers that he needs sources of information from the other two Services and from our civilian members as well, so that this section of your journal can truly reflect the cross-section of our membership.</w:t>
      </w:r>
    </w:p>
    <w:p w14:paraId="6A6422E5" w14:textId="77777777" w:rsidR="0070576F" w:rsidRDefault="0070576F" w:rsidP="0070576F">
      <w:pPr>
        <w:pStyle w:val="UpdateSub-Heading"/>
      </w:pPr>
      <w:r>
        <w:t>Defence Force Promotions</w:t>
      </w:r>
    </w:p>
    <w:p w14:paraId="1E9BA840" w14:textId="77777777" w:rsidR="0070576F" w:rsidRDefault="0070576F" w:rsidP="0070576F">
      <w:pPr>
        <w:pStyle w:val="UpdateFirstPara"/>
      </w:pPr>
      <w:r>
        <w:t>The following AMMA members have been selected for promotion:</w:t>
      </w:r>
    </w:p>
    <w:p w14:paraId="549258CB" w14:textId="77777777" w:rsidR="0070576F" w:rsidRDefault="0070576F" w:rsidP="0070576F">
      <w:pPr>
        <w:pStyle w:val="UpdatePara"/>
      </w:pPr>
    </w:p>
    <w:p w14:paraId="0D6550C5" w14:textId="77777777" w:rsidR="0070576F" w:rsidRDefault="0070576F" w:rsidP="0070576F">
      <w:pPr>
        <w:pStyle w:val="UpdateFirstPara"/>
        <w:numPr>
          <w:ilvl w:val="0"/>
          <w:numId w:val="1"/>
        </w:numPr>
      </w:pPr>
      <w:r>
        <w:rPr>
          <w:b/>
        </w:rPr>
        <w:t>Michael Flynn</w:t>
      </w:r>
      <w:r>
        <w:t xml:space="preserve"> - to Commodore RAN, and Director General, Naval Health Services, and Director General, Corporate Health Plans, in the Office of the Surgeon General, to date 14 October 1996.</w:t>
      </w:r>
    </w:p>
    <w:p w14:paraId="02D85410" w14:textId="77777777" w:rsidR="0070576F" w:rsidRDefault="0070576F" w:rsidP="0070576F">
      <w:pPr>
        <w:pStyle w:val="UpdatePara"/>
        <w:numPr>
          <w:ilvl w:val="0"/>
          <w:numId w:val="1"/>
        </w:numPr>
      </w:pPr>
      <w:r>
        <w:rPr>
          <w:b/>
        </w:rPr>
        <w:t xml:space="preserve">David </w:t>
      </w:r>
      <w:proofErr w:type="spellStart"/>
      <w:r>
        <w:rPr>
          <w:b/>
        </w:rPr>
        <w:t>Emonson</w:t>
      </w:r>
      <w:proofErr w:type="spellEnd"/>
      <w:r>
        <w:t xml:space="preserve"> - to Group Captain RAAF. David is the CO of the Institute of Aviation Medicine, Edinburgh SA, and will be taking up an appointment in the Surgeon General’s office in the new year.</w:t>
      </w:r>
    </w:p>
    <w:p w14:paraId="401D89A8" w14:textId="77777777" w:rsidR="0070576F" w:rsidRDefault="0070576F" w:rsidP="0070576F">
      <w:pPr>
        <w:pStyle w:val="UpdatePara"/>
        <w:numPr>
          <w:ilvl w:val="0"/>
          <w:numId w:val="1"/>
        </w:numPr>
      </w:pPr>
      <w:r>
        <w:rPr>
          <w:b/>
        </w:rPr>
        <w:t xml:space="preserve">Russ </w:t>
      </w:r>
      <w:proofErr w:type="spellStart"/>
      <w:r>
        <w:rPr>
          <w:b/>
        </w:rPr>
        <w:t>Schedlich</w:t>
      </w:r>
      <w:proofErr w:type="spellEnd"/>
      <w:r>
        <w:t xml:space="preserve"> - to Captain RAN. Russ has been working in Maritime Headquarters since 1993 on the project to include a Level 3 medical facility in the Navy’s Training and Helicopter Support </w:t>
      </w:r>
      <w:proofErr w:type="gramStart"/>
      <w:r>
        <w:t>Ships, and</w:t>
      </w:r>
      <w:proofErr w:type="gramEnd"/>
      <w:r>
        <w:t xml:space="preserve"> took up the appointment of Fleet Medical Officer in October 1996.</w:t>
      </w:r>
    </w:p>
    <w:p w14:paraId="4836D371" w14:textId="77777777" w:rsidR="0070576F" w:rsidRDefault="0070576F" w:rsidP="0070576F">
      <w:pPr>
        <w:pStyle w:val="UpdatePara"/>
        <w:numPr>
          <w:ilvl w:val="0"/>
          <w:numId w:val="1"/>
        </w:numPr>
      </w:pPr>
      <w:r>
        <w:rPr>
          <w:b/>
        </w:rPr>
        <w:t>Andy Robertson</w:t>
      </w:r>
      <w:r>
        <w:t xml:space="preserve"> - to Commander RAN. Andy is currently the Senior Medical Officer at HMAS STIRLING in WA, having transferred there from the Surgeon General’s office earlier in 1996.</w:t>
      </w:r>
    </w:p>
    <w:p w14:paraId="7A5A659F" w14:textId="77777777" w:rsidR="0070576F" w:rsidRDefault="0070576F" w:rsidP="0070576F">
      <w:pPr>
        <w:pStyle w:val="UpdateSub-Heading"/>
      </w:pPr>
      <w:r>
        <w:t>DGNHS Retires</w:t>
      </w:r>
    </w:p>
    <w:p w14:paraId="78F98137" w14:textId="77777777" w:rsidR="0070576F" w:rsidRDefault="0070576F" w:rsidP="0070576F">
      <w:pPr>
        <w:pStyle w:val="UpdateFirstPara"/>
      </w:pPr>
      <w:r>
        <w:rPr>
          <w:b/>
        </w:rPr>
        <w:t xml:space="preserve">Michael </w:t>
      </w:r>
      <w:proofErr w:type="spellStart"/>
      <w:r>
        <w:rPr>
          <w:b/>
        </w:rPr>
        <w:t>Dowsett</w:t>
      </w:r>
      <w:proofErr w:type="spellEnd"/>
      <w:r>
        <w:t xml:space="preserve"> retired from the Royal Australian Navy as Commodore and Director General, Naval Health Services, and Director General, Corporate Health Plans, in the Office of the Surgeon General, on 17 October 1996. Commodore </w:t>
      </w:r>
      <w:proofErr w:type="spellStart"/>
      <w:r>
        <w:t>Dowsett</w:t>
      </w:r>
      <w:proofErr w:type="spellEnd"/>
      <w:r>
        <w:t>, the first dentist to hold the position of DGNHS (and, indeed, the first and only non-medical officer to hold any of the Directors General positions), retired after over 30 years of service with the RAN.</w:t>
      </w:r>
    </w:p>
    <w:p w14:paraId="16DF0FF2" w14:textId="77777777" w:rsidR="0070576F" w:rsidRDefault="0070576F" w:rsidP="0070576F">
      <w:pPr>
        <w:pStyle w:val="UpdateSub-Heading"/>
      </w:pPr>
      <w:r>
        <w:t>Departures</w:t>
      </w:r>
    </w:p>
    <w:p w14:paraId="06737F39" w14:textId="77777777" w:rsidR="0070576F" w:rsidRDefault="0070576F" w:rsidP="0070576F">
      <w:pPr>
        <w:pStyle w:val="UpdateFirstPara"/>
        <w:numPr>
          <w:ilvl w:val="0"/>
          <w:numId w:val="1"/>
        </w:numPr>
      </w:pPr>
      <w:r>
        <w:rPr>
          <w:b/>
        </w:rPr>
        <w:t>John Parkes</w:t>
      </w:r>
      <w:r>
        <w:t xml:space="preserve"> transferred to the RAN Reserves in October in the rank of Captain. John has recently served in the Surgeon General’s office as Director of Medical </w:t>
      </w:r>
      <w:proofErr w:type="gramStart"/>
      <w:r>
        <w:t>Services, and</w:t>
      </w:r>
      <w:proofErr w:type="gramEnd"/>
      <w:r>
        <w:t xml:space="preserve"> will continue to work there part-time in his specialty of NBC medicine. In his other </w:t>
      </w:r>
      <w:proofErr w:type="gramStart"/>
      <w:r>
        <w:t>time</w:t>
      </w:r>
      <w:proofErr w:type="gramEnd"/>
      <w:r>
        <w:t xml:space="preserve"> he will be working in clinical medicine in Canberra and other southern NSW regions.</w:t>
      </w:r>
    </w:p>
    <w:p w14:paraId="17E46C0D" w14:textId="77777777" w:rsidR="0070576F" w:rsidRDefault="0070576F" w:rsidP="0070576F">
      <w:pPr>
        <w:pStyle w:val="UpdatePara"/>
        <w:numPr>
          <w:ilvl w:val="0"/>
          <w:numId w:val="1"/>
        </w:numPr>
      </w:pPr>
      <w:r>
        <w:rPr>
          <w:b/>
        </w:rPr>
        <w:t>Andrew Gibson</w:t>
      </w:r>
      <w:r>
        <w:t xml:space="preserve"> left the RAN in the rank of Commander in October. A specialist in Occupational Medicine, and latterly Medical Officer-in-Charge of Balmoral Naval Hospital, Andrew has moved into occupational medicine in the civilian environment.</w:t>
      </w:r>
    </w:p>
    <w:p w14:paraId="3111E6FF" w14:textId="77777777" w:rsidR="0070576F" w:rsidRDefault="0070576F" w:rsidP="0070576F">
      <w:pPr>
        <w:pStyle w:val="UpdateHeading"/>
      </w:pPr>
      <w:r>
        <w:t>AMMA Conferences</w:t>
      </w:r>
    </w:p>
    <w:p w14:paraId="16D787ED" w14:textId="77777777" w:rsidR="0070576F" w:rsidRDefault="0070576F" w:rsidP="0070576F">
      <w:pPr>
        <w:pStyle w:val="UpdateSub-Heading"/>
      </w:pPr>
      <w:r>
        <w:t>1996</w:t>
      </w:r>
    </w:p>
    <w:p w14:paraId="658646EB" w14:textId="77777777" w:rsidR="0070576F" w:rsidRDefault="0070576F" w:rsidP="0070576F">
      <w:pPr>
        <w:pStyle w:val="UpdateFirstPara"/>
      </w:pPr>
      <w:r>
        <w:t>As everyone knows, the 5th AMMA Scientific Conference was held at the Hyatt Hotel in Canberra from 6 to 8 September 1996. A full report on the Conference appears on p 24 of this journal.</w:t>
      </w:r>
    </w:p>
    <w:p w14:paraId="6B5B8B92" w14:textId="77777777" w:rsidR="0070576F" w:rsidRDefault="0070576F" w:rsidP="0070576F">
      <w:pPr>
        <w:pStyle w:val="UpdateSub-Heading"/>
      </w:pPr>
      <w:r>
        <w:t>1997 Conference</w:t>
      </w:r>
    </w:p>
    <w:p w14:paraId="320656F4" w14:textId="77777777" w:rsidR="0070576F" w:rsidRDefault="0070576F" w:rsidP="0070576F">
      <w:pPr>
        <w:pStyle w:val="UpdateFirstPara"/>
      </w:pPr>
      <w:r>
        <w:t xml:space="preserve">The 6th AMMA Scientific Conference will be held in Melbourne from the 29th to the 31st of August 1997. A Call for Papers for this Conference will be included in the March 1997 edition of the journal, but it would be </w:t>
      </w:r>
      <w:proofErr w:type="spellStart"/>
      <w:r>
        <w:t>worth while</w:t>
      </w:r>
      <w:proofErr w:type="spellEnd"/>
      <w:r>
        <w:t xml:space="preserve"> starting to think about subjects now.</w:t>
      </w:r>
    </w:p>
    <w:p w14:paraId="38428C4F" w14:textId="77777777" w:rsidR="0070576F" w:rsidRDefault="0070576F" w:rsidP="0070576F">
      <w:pPr>
        <w:pStyle w:val="UpdatePara"/>
      </w:pPr>
    </w:p>
    <w:p w14:paraId="6C0D78FB" w14:textId="77777777" w:rsidR="0070576F" w:rsidRDefault="0070576F" w:rsidP="0070576F">
      <w:pPr>
        <w:pStyle w:val="UpdateSub-Heading"/>
      </w:pPr>
      <w:r>
        <w:t>Conference Committee</w:t>
      </w:r>
    </w:p>
    <w:p w14:paraId="5BE71D8F" w14:textId="77777777" w:rsidR="0070576F" w:rsidRDefault="0070576F" w:rsidP="0070576F">
      <w:pPr>
        <w:pStyle w:val="UpdatePara"/>
      </w:pPr>
      <w:r>
        <w:t>The 1997 Conference Committee is:</w:t>
      </w:r>
    </w:p>
    <w:p w14:paraId="4C65D1D6" w14:textId="77777777" w:rsidR="0070576F" w:rsidRDefault="0070576F" w:rsidP="0070576F">
      <w:pPr>
        <w:pStyle w:val="UpdatePara"/>
        <w:rPr>
          <w:i/>
        </w:rPr>
      </w:pPr>
      <w:r>
        <w:rPr>
          <w:i/>
        </w:rPr>
        <w:t xml:space="preserve">Nader </w:t>
      </w:r>
      <w:proofErr w:type="spellStart"/>
      <w:r>
        <w:rPr>
          <w:i/>
        </w:rPr>
        <w:t>Abou-Seif</w:t>
      </w:r>
      <w:proofErr w:type="spellEnd"/>
    </w:p>
    <w:p w14:paraId="792FE53E" w14:textId="77777777" w:rsidR="0070576F" w:rsidRDefault="0070576F" w:rsidP="0070576F">
      <w:pPr>
        <w:pStyle w:val="UpdatePara"/>
        <w:rPr>
          <w:i/>
        </w:rPr>
      </w:pPr>
      <w:r>
        <w:rPr>
          <w:i/>
        </w:rPr>
        <w:t>Bob Stacy</w:t>
      </w:r>
    </w:p>
    <w:p w14:paraId="3D7A67F2" w14:textId="77777777" w:rsidR="0070576F" w:rsidRDefault="0070576F" w:rsidP="0070576F">
      <w:pPr>
        <w:pStyle w:val="UpdatePara"/>
      </w:pPr>
      <w:r>
        <w:t xml:space="preserve">Full details on the 1997 Conference will be published in the March issue of </w:t>
      </w:r>
      <w:r>
        <w:rPr>
          <w:i/>
        </w:rPr>
        <w:t>AMM</w:t>
      </w:r>
      <w:r>
        <w:t>.</w:t>
      </w:r>
    </w:p>
    <w:p w14:paraId="1BF28276" w14:textId="77777777" w:rsidR="0070576F" w:rsidRDefault="0070576F" w:rsidP="0070576F">
      <w:pPr>
        <w:pStyle w:val="UpdateHeading"/>
      </w:pPr>
      <w:r>
        <w:t>AMMA Contacts</w:t>
      </w:r>
    </w:p>
    <w:p w14:paraId="4183B0A6" w14:textId="77777777" w:rsidR="0070576F" w:rsidRDefault="0070576F" w:rsidP="0070576F">
      <w:pPr>
        <w:pStyle w:val="UpdateFirstPara"/>
        <w:rPr>
          <w:i/>
        </w:rPr>
      </w:pPr>
      <w:r>
        <w:rPr>
          <w:i/>
        </w:rPr>
        <w:t>For all general AMMA enquires contact the Secretariat:</w:t>
      </w:r>
    </w:p>
    <w:p w14:paraId="741CAA97" w14:textId="77777777" w:rsidR="0070576F" w:rsidRDefault="0070576F" w:rsidP="0070576F">
      <w:pPr>
        <w:pStyle w:val="UpdateFirstPara"/>
        <w:rPr>
          <w:i/>
        </w:rPr>
      </w:pPr>
      <w:r>
        <w:rPr>
          <w:i/>
        </w:rPr>
        <w:t>Paula Leishman</w:t>
      </w:r>
    </w:p>
    <w:p w14:paraId="0AC95E57" w14:textId="77777777" w:rsidR="0070576F" w:rsidRDefault="0070576F" w:rsidP="0070576F">
      <w:pPr>
        <w:pStyle w:val="UpdateFirstPara"/>
        <w:rPr>
          <w:i/>
        </w:rPr>
      </w:pPr>
      <w:r>
        <w:rPr>
          <w:i/>
        </w:rPr>
        <w:t xml:space="preserve">Tel: </w:t>
      </w:r>
      <w:r>
        <w:rPr>
          <w:i/>
        </w:rPr>
        <w:tab/>
        <w:t>(03) 6247-1850</w:t>
      </w:r>
    </w:p>
    <w:p w14:paraId="6A34F044" w14:textId="77777777" w:rsidR="0070576F" w:rsidRDefault="0070576F" w:rsidP="0070576F">
      <w:pPr>
        <w:pStyle w:val="UpdateFirstPara"/>
        <w:rPr>
          <w:i/>
        </w:rPr>
      </w:pPr>
      <w:r>
        <w:rPr>
          <w:i/>
        </w:rPr>
        <w:tab/>
        <w:t>(015) 87-5390</w:t>
      </w:r>
    </w:p>
    <w:p w14:paraId="0BF2578B" w14:textId="77777777" w:rsidR="0070576F" w:rsidRDefault="0070576F" w:rsidP="0070576F">
      <w:pPr>
        <w:pStyle w:val="UpdateFirstPara"/>
        <w:rPr>
          <w:i/>
        </w:rPr>
      </w:pPr>
      <w:r>
        <w:rPr>
          <w:i/>
        </w:rPr>
        <w:t>Fax:</w:t>
      </w:r>
      <w:r>
        <w:rPr>
          <w:i/>
        </w:rPr>
        <w:tab/>
        <w:t>(03) 6247-1855</w:t>
      </w:r>
    </w:p>
    <w:p w14:paraId="6B15261E" w14:textId="77777777" w:rsidR="0070576F" w:rsidRDefault="0070576F" w:rsidP="0070576F">
      <w:pPr>
        <w:pStyle w:val="UpdateSub-Heading"/>
      </w:pPr>
      <w:r>
        <w:t>Research Grants</w:t>
      </w:r>
    </w:p>
    <w:p w14:paraId="256436B3" w14:textId="77777777" w:rsidR="0070576F" w:rsidRDefault="0070576F" w:rsidP="0070576F">
      <w:pPr>
        <w:pStyle w:val="UpdateFirstPara"/>
      </w:pPr>
      <w:r>
        <w:t xml:space="preserve">Details of the AMMA Research Grant programme are included in </w:t>
      </w:r>
      <w:r>
        <w:lastRenderedPageBreak/>
        <w:t>this journal. Members are reminded that applications for the 1997 Research Grant must be received by 30 April 1997. Further details on the Grant can be obtained from:</w:t>
      </w:r>
    </w:p>
    <w:p w14:paraId="109336CA" w14:textId="77777777" w:rsidR="0070576F" w:rsidRDefault="0070576F" w:rsidP="0070576F">
      <w:pPr>
        <w:pStyle w:val="UpdateFirstPara"/>
        <w:rPr>
          <w:i/>
        </w:rPr>
      </w:pPr>
      <w:r>
        <w:rPr>
          <w:i/>
        </w:rPr>
        <w:t>Janet Scott:</w:t>
      </w:r>
    </w:p>
    <w:p w14:paraId="7AA99AFA" w14:textId="77777777" w:rsidR="0070576F" w:rsidRDefault="0070576F" w:rsidP="0070576F">
      <w:pPr>
        <w:pStyle w:val="UpdateFirstPara"/>
        <w:rPr>
          <w:i/>
        </w:rPr>
      </w:pPr>
      <w:r>
        <w:rPr>
          <w:i/>
        </w:rPr>
        <w:t>Tel:</w:t>
      </w:r>
      <w:r>
        <w:rPr>
          <w:i/>
        </w:rPr>
        <w:tab/>
        <w:t>(08) 272-7399</w:t>
      </w:r>
    </w:p>
    <w:p w14:paraId="57AB607B" w14:textId="77777777" w:rsidR="0070576F" w:rsidRDefault="0070576F" w:rsidP="0070576F">
      <w:pPr>
        <w:pStyle w:val="UpdateSub-Heading"/>
      </w:pPr>
      <w:r>
        <w:t>Journal</w:t>
      </w:r>
    </w:p>
    <w:p w14:paraId="64A12BAB" w14:textId="77777777" w:rsidR="0070576F" w:rsidRDefault="0070576F" w:rsidP="0070576F">
      <w:pPr>
        <w:pStyle w:val="UpdateFirstPara"/>
      </w:pPr>
      <w:r>
        <w:t>Journal’s for 1997 will be published as follows:</w:t>
      </w:r>
    </w:p>
    <w:p w14:paraId="161528EC" w14:textId="77777777" w:rsidR="0070576F" w:rsidRDefault="0070576F" w:rsidP="0070576F">
      <w:pPr>
        <w:pStyle w:val="UpdatePara"/>
      </w:pPr>
    </w:p>
    <w:tbl>
      <w:tblPr>
        <w:tblW w:w="0" w:type="auto"/>
        <w:tblLayout w:type="fixed"/>
        <w:tblLook w:val="0000" w:firstRow="0" w:lastRow="0" w:firstColumn="0" w:lastColumn="0" w:noHBand="0" w:noVBand="0"/>
      </w:tblPr>
      <w:tblGrid>
        <w:gridCol w:w="1714"/>
        <w:gridCol w:w="1714"/>
      </w:tblGrid>
      <w:tr w:rsidR="0070576F" w14:paraId="1957A399" w14:textId="77777777" w:rsidTr="00415CDC">
        <w:tblPrEx>
          <w:tblCellMar>
            <w:top w:w="0" w:type="dxa"/>
            <w:bottom w:w="0" w:type="dxa"/>
          </w:tblCellMar>
        </w:tblPrEx>
        <w:tc>
          <w:tcPr>
            <w:tcW w:w="1714" w:type="dxa"/>
          </w:tcPr>
          <w:p w14:paraId="44CFAB7E" w14:textId="77777777" w:rsidR="0070576F" w:rsidRDefault="0070576F" w:rsidP="00415CDC">
            <w:pPr>
              <w:pStyle w:val="UpdatePara"/>
              <w:ind w:firstLine="0"/>
              <w:rPr>
                <w:b/>
              </w:rPr>
            </w:pPr>
            <w:r>
              <w:rPr>
                <w:b/>
              </w:rPr>
              <w:t>Issue</w:t>
            </w:r>
          </w:p>
        </w:tc>
        <w:tc>
          <w:tcPr>
            <w:tcW w:w="1714" w:type="dxa"/>
          </w:tcPr>
          <w:p w14:paraId="6DF2DEBB" w14:textId="77777777" w:rsidR="0070576F" w:rsidRDefault="0070576F" w:rsidP="00415CDC">
            <w:pPr>
              <w:pStyle w:val="UpdatePara"/>
              <w:ind w:firstLine="0"/>
              <w:rPr>
                <w:b/>
              </w:rPr>
            </w:pPr>
            <w:r>
              <w:rPr>
                <w:b/>
              </w:rPr>
              <w:t>Copy Deadline</w:t>
            </w:r>
          </w:p>
        </w:tc>
      </w:tr>
      <w:tr w:rsidR="0070576F" w14:paraId="4E82A30F" w14:textId="77777777" w:rsidTr="00415CDC">
        <w:tblPrEx>
          <w:tblCellMar>
            <w:top w:w="0" w:type="dxa"/>
            <w:bottom w:w="0" w:type="dxa"/>
          </w:tblCellMar>
        </w:tblPrEx>
        <w:tc>
          <w:tcPr>
            <w:tcW w:w="1714" w:type="dxa"/>
          </w:tcPr>
          <w:p w14:paraId="522BDB34" w14:textId="77777777" w:rsidR="0070576F" w:rsidRDefault="0070576F" w:rsidP="00415CDC">
            <w:pPr>
              <w:pStyle w:val="UpdatePara"/>
              <w:ind w:firstLine="0"/>
            </w:pPr>
            <w:r>
              <w:t>March</w:t>
            </w:r>
          </w:p>
        </w:tc>
        <w:tc>
          <w:tcPr>
            <w:tcW w:w="1714" w:type="dxa"/>
          </w:tcPr>
          <w:p w14:paraId="778543B0" w14:textId="77777777" w:rsidR="0070576F" w:rsidRDefault="0070576F" w:rsidP="00415CDC">
            <w:pPr>
              <w:pStyle w:val="UpdatePara"/>
              <w:ind w:firstLine="0"/>
            </w:pPr>
            <w:r>
              <w:t>28 February</w:t>
            </w:r>
          </w:p>
        </w:tc>
      </w:tr>
      <w:tr w:rsidR="0070576F" w14:paraId="1ADD62DB" w14:textId="77777777" w:rsidTr="00415CDC">
        <w:tblPrEx>
          <w:tblCellMar>
            <w:top w:w="0" w:type="dxa"/>
            <w:bottom w:w="0" w:type="dxa"/>
          </w:tblCellMar>
        </w:tblPrEx>
        <w:tc>
          <w:tcPr>
            <w:tcW w:w="1714" w:type="dxa"/>
          </w:tcPr>
          <w:p w14:paraId="04B6547D" w14:textId="77777777" w:rsidR="0070576F" w:rsidRDefault="0070576F" w:rsidP="00415CDC">
            <w:pPr>
              <w:pStyle w:val="UpdatePara"/>
              <w:ind w:firstLine="0"/>
            </w:pPr>
            <w:r>
              <w:t>July</w:t>
            </w:r>
          </w:p>
        </w:tc>
        <w:tc>
          <w:tcPr>
            <w:tcW w:w="1714" w:type="dxa"/>
          </w:tcPr>
          <w:p w14:paraId="61D3F150" w14:textId="77777777" w:rsidR="0070576F" w:rsidRDefault="0070576F" w:rsidP="00415CDC">
            <w:pPr>
              <w:pStyle w:val="UpdatePara"/>
              <w:ind w:firstLine="0"/>
            </w:pPr>
            <w:r>
              <w:t>31 May</w:t>
            </w:r>
          </w:p>
        </w:tc>
      </w:tr>
      <w:tr w:rsidR="0070576F" w14:paraId="4FC54446" w14:textId="77777777" w:rsidTr="00415CDC">
        <w:tblPrEx>
          <w:tblCellMar>
            <w:top w:w="0" w:type="dxa"/>
            <w:bottom w:w="0" w:type="dxa"/>
          </w:tblCellMar>
        </w:tblPrEx>
        <w:tc>
          <w:tcPr>
            <w:tcW w:w="1714" w:type="dxa"/>
          </w:tcPr>
          <w:p w14:paraId="3A262867" w14:textId="77777777" w:rsidR="0070576F" w:rsidRDefault="0070576F" w:rsidP="00415CDC">
            <w:pPr>
              <w:pStyle w:val="UpdatePara"/>
              <w:ind w:firstLine="0"/>
            </w:pPr>
            <w:r>
              <w:t>November</w:t>
            </w:r>
          </w:p>
        </w:tc>
        <w:tc>
          <w:tcPr>
            <w:tcW w:w="1714" w:type="dxa"/>
          </w:tcPr>
          <w:p w14:paraId="64E8BDC6" w14:textId="77777777" w:rsidR="0070576F" w:rsidRDefault="0070576F" w:rsidP="00415CDC">
            <w:pPr>
              <w:pStyle w:val="UpdatePara"/>
              <w:ind w:firstLine="0"/>
            </w:pPr>
            <w:r>
              <w:t>30 September</w:t>
            </w:r>
          </w:p>
        </w:tc>
      </w:tr>
    </w:tbl>
    <w:p w14:paraId="5DD9081F" w14:textId="77777777" w:rsidR="0070576F" w:rsidRDefault="0070576F" w:rsidP="0070576F">
      <w:pPr>
        <w:pStyle w:val="UpdatePara"/>
      </w:pPr>
    </w:p>
    <w:p w14:paraId="6A196D2B" w14:textId="77777777" w:rsidR="0070576F" w:rsidRDefault="0070576F" w:rsidP="0070576F">
      <w:pPr>
        <w:pStyle w:val="UpdatePara"/>
      </w:pPr>
      <w:r>
        <w:t>All queries regarding the Journal should be directed to:</w:t>
      </w:r>
    </w:p>
    <w:p w14:paraId="6C7DF7A4" w14:textId="77777777" w:rsidR="0070576F" w:rsidRDefault="0070576F" w:rsidP="0070576F">
      <w:pPr>
        <w:pStyle w:val="UpdateFirstPara"/>
        <w:rPr>
          <w:i/>
        </w:rPr>
      </w:pPr>
      <w:r>
        <w:rPr>
          <w:i/>
        </w:rPr>
        <w:t xml:space="preserve">Russ </w:t>
      </w:r>
      <w:proofErr w:type="spellStart"/>
      <w:r>
        <w:rPr>
          <w:i/>
        </w:rPr>
        <w:t>Schedlich</w:t>
      </w:r>
      <w:proofErr w:type="spellEnd"/>
    </w:p>
    <w:p w14:paraId="3792336F" w14:textId="77777777" w:rsidR="0070576F" w:rsidRDefault="0070576F" w:rsidP="0070576F">
      <w:pPr>
        <w:pStyle w:val="UpdateFirstPara"/>
        <w:rPr>
          <w:i/>
        </w:rPr>
      </w:pPr>
      <w:r>
        <w:rPr>
          <w:i/>
        </w:rPr>
        <w:t>Tel:</w:t>
      </w:r>
      <w:r>
        <w:rPr>
          <w:i/>
        </w:rPr>
        <w:tab/>
        <w:t>(02) 9563-4504</w:t>
      </w:r>
    </w:p>
    <w:p w14:paraId="7ECBEFAE" w14:textId="77777777" w:rsidR="0070576F" w:rsidRDefault="0070576F" w:rsidP="0070576F">
      <w:pPr>
        <w:pStyle w:val="UpdateFirstPara"/>
        <w:rPr>
          <w:i/>
        </w:rPr>
      </w:pPr>
      <w:r>
        <w:rPr>
          <w:i/>
        </w:rPr>
        <w:tab/>
        <w:t xml:space="preserve">(018) 47-3133 </w:t>
      </w:r>
    </w:p>
    <w:p w14:paraId="70B6D58D" w14:textId="77777777" w:rsidR="0070576F" w:rsidRDefault="0070576F" w:rsidP="0070576F">
      <w:pPr>
        <w:pStyle w:val="UpdateFirstPara"/>
      </w:pPr>
      <w:r>
        <w:rPr>
          <w:i/>
        </w:rPr>
        <w:t>Fax:</w:t>
      </w:r>
      <w:r>
        <w:rPr>
          <w:i/>
        </w:rPr>
        <w:tab/>
        <w:t>(02) 9563-4519</w:t>
      </w:r>
    </w:p>
    <w:p w14:paraId="312B7F6E" w14:textId="77777777" w:rsidR="0070576F" w:rsidRDefault="0070576F" w:rsidP="0070576F">
      <w:pPr>
        <w:pStyle w:val="UpdateSub-Heading"/>
      </w:pPr>
      <w:r>
        <w:t>L</w:t>
      </w:r>
      <w:r>
        <w:t>i</w:t>
      </w:r>
      <w:r>
        <w:t>brary</w:t>
      </w:r>
    </w:p>
    <w:p w14:paraId="6CC46684" w14:textId="77777777" w:rsidR="0070576F" w:rsidRDefault="0070576F" w:rsidP="0070576F">
      <w:pPr>
        <w:pStyle w:val="UpdateFirstPara"/>
      </w:pPr>
      <w:r>
        <w:t xml:space="preserve">The Association’s Library has recently moved to the Fleet Medical Officer’s office, Maritime </w:t>
      </w:r>
      <w:r>
        <w:t>Headquarters Sydney. Any member who wishes to browse through the Library (and visit the Librarian for coffee) is welcome to call.</w:t>
      </w:r>
    </w:p>
    <w:p w14:paraId="459DC1B3" w14:textId="77777777" w:rsidR="0070576F" w:rsidRDefault="0070576F" w:rsidP="0070576F">
      <w:pPr>
        <w:pStyle w:val="UpdateFirstPara"/>
        <w:rPr>
          <w:i/>
        </w:rPr>
      </w:pPr>
      <w:r>
        <w:rPr>
          <w:i/>
        </w:rPr>
        <w:t>Books from the library are available for loan of up to 12 weeks. Contact:</w:t>
      </w:r>
    </w:p>
    <w:p w14:paraId="501CD1A9" w14:textId="77777777" w:rsidR="0070576F" w:rsidRDefault="0070576F" w:rsidP="0070576F">
      <w:pPr>
        <w:pStyle w:val="UpdateFirstPara"/>
        <w:rPr>
          <w:i/>
        </w:rPr>
      </w:pPr>
      <w:r>
        <w:rPr>
          <w:i/>
        </w:rPr>
        <w:t xml:space="preserve">Russ </w:t>
      </w:r>
      <w:proofErr w:type="spellStart"/>
      <w:r>
        <w:rPr>
          <w:i/>
        </w:rPr>
        <w:t>Schedlich</w:t>
      </w:r>
      <w:proofErr w:type="spellEnd"/>
      <w:r>
        <w:rPr>
          <w:i/>
        </w:rPr>
        <w:t xml:space="preserve"> </w:t>
      </w:r>
    </w:p>
    <w:p w14:paraId="7CA40DDE" w14:textId="77777777" w:rsidR="0070576F" w:rsidRDefault="0070576F" w:rsidP="0070576F">
      <w:pPr>
        <w:pStyle w:val="UpdateFirstPara"/>
        <w:rPr>
          <w:i/>
        </w:rPr>
      </w:pPr>
      <w:r>
        <w:rPr>
          <w:i/>
        </w:rPr>
        <w:t>Tel:</w:t>
      </w:r>
      <w:r>
        <w:rPr>
          <w:i/>
        </w:rPr>
        <w:tab/>
        <w:t>(02) 9563-4504</w:t>
      </w:r>
    </w:p>
    <w:p w14:paraId="3CB4F6CF" w14:textId="77777777" w:rsidR="0070576F" w:rsidRDefault="0070576F" w:rsidP="0070576F">
      <w:pPr>
        <w:pStyle w:val="UpdatePara"/>
        <w:rPr>
          <w:i/>
        </w:rPr>
      </w:pPr>
      <w:r>
        <w:rPr>
          <w:i/>
        </w:rPr>
        <w:tab/>
        <w:t>(018) 47-3133</w:t>
      </w:r>
    </w:p>
    <w:p w14:paraId="056D321A" w14:textId="77777777" w:rsidR="0070576F" w:rsidRDefault="0070576F" w:rsidP="0070576F">
      <w:pPr>
        <w:pStyle w:val="UpdateFirstPara"/>
        <w:rPr>
          <w:i/>
        </w:rPr>
      </w:pPr>
      <w:r>
        <w:rPr>
          <w:i/>
        </w:rPr>
        <w:t>Fax:</w:t>
      </w:r>
      <w:r>
        <w:rPr>
          <w:i/>
        </w:rPr>
        <w:tab/>
        <w:t>(02) 9563-4519</w:t>
      </w:r>
    </w:p>
    <w:p w14:paraId="4927CD30" w14:textId="77777777" w:rsidR="0070576F" w:rsidRDefault="0070576F" w:rsidP="0070576F"/>
    <w:p w14:paraId="16F777B1" w14:textId="77777777" w:rsidR="0070576F" w:rsidRDefault="0070576F" w:rsidP="0070576F">
      <w:pPr>
        <w:sectPr w:rsidR="0070576F">
          <w:headerReference w:type="even" r:id="rId9"/>
          <w:headerReference w:type="default" r:id="rId10"/>
          <w:footerReference w:type="even" r:id="rId11"/>
          <w:footerReference w:type="default" r:id="rId12"/>
          <w:footnotePr>
            <w:numRestart w:val="eachPage"/>
          </w:footnotePr>
          <w:type w:val="continuous"/>
          <w:pgSz w:w="11907" w:h="16840"/>
          <w:pgMar w:top="1440" w:right="851" w:bottom="1440" w:left="851" w:header="720" w:footer="720" w:gutter="0"/>
          <w:cols w:num="3" w:space="284"/>
          <w:noEndnote/>
        </w:sectPr>
      </w:pPr>
    </w:p>
    <w:p w14:paraId="2EB77F31" w14:textId="77777777" w:rsidR="0070576F" w:rsidRDefault="0070576F" w:rsidP="0070576F"/>
    <w:p w14:paraId="509755FD" w14:textId="77777777" w:rsidR="0070576F" w:rsidRDefault="0070576F" w:rsidP="0070576F">
      <w:pPr>
        <w:pStyle w:val="UpdateHeading"/>
        <w:jc w:val="center"/>
      </w:pPr>
      <w:r>
        <w:t>Conference and Meeting Calendar</w:t>
      </w:r>
    </w:p>
    <w:p w14:paraId="58CAA6EC" w14:textId="77777777" w:rsidR="0070576F" w:rsidRDefault="0070576F" w:rsidP="0070576F">
      <w:pPr>
        <w:pStyle w:val="UpdateFirstPara"/>
      </w:pPr>
    </w:p>
    <w:tbl>
      <w:tblPr>
        <w:tblW w:w="0" w:type="auto"/>
        <w:jc w:val="center"/>
        <w:tblLayout w:type="fixed"/>
        <w:tblLook w:val="00B7" w:firstRow="1" w:lastRow="0" w:firstColumn="1" w:lastColumn="0" w:noHBand="0" w:noVBand="0"/>
      </w:tblPr>
      <w:tblGrid>
        <w:gridCol w:w="2102"/>
        <w:gridCol w:w="3249"/>
        <w:gridCol w:w="1720"/>
      </w:tblGrid>
      <w:tr w:rsidR="0070576F" w14:paraId="5E4C34E3" w14:textId="77777777" w:rsidTr="00415CDC">
        <w:tblPrEx>
          <w:tblCellMar>
            <w:top w:w="0" w:type="dxa"/>
            <w:bottom w:w="0" w:type="dxa"/>
          </w:tblCellMar>
        </w:tblPrEx>
        <w:trPr>
          <w:jc w:val="center"/>
        </w:trPr>
        <w:tc>
          <w:tcPr>
            <w:tcW w:w="2102" w:type="dxa"/>
            <w:tcBorders>
              <w:top w:val="single" w:sz="12" w:space="0" w:color="000000"/>
              <w:bottom w:val="single" w:sz="6" w:space="0" w:color="000000"/>
            </w:tcBorders>
            <w:shd w:val="pct60" w:color="000000" w:fill="FFFFFF"/>
          </w:tcPr>
          <w:p w14:paraId="717287AB" w14:textId="77777777" w:rsidR="0070576F" w:rsidRDefault="0070576F" w:rsidP="00415CDC">
            <w:pPr>
              <w:pStyle w:val="UpdateFirstPara"/>
              <w:rPr>
                <w:b/>
                <w:color w:val="FFFFFF"/>
              </w:rPr>
            </w:pPr>
            <w:r>
              <w:rPr>
                <w:b/>
                <w:color w:val="FFFFFF"/>
              </w:rPr>
              <w:t>Date</w:t>
            </w:r>
          </w:p>
        </w:tc>
        <w:tc>
          <w:tcPr>
            <w:tcW w:w="3249" w:type="dxa"/>
            <w:tcBorders>
              <w:top w:val="single" w:sz="12" w:space="0" w:color="000000"/>
              <w:bottom w:val="single" w:sz="6" w:space="0" w:color="000000"/>
            </w:tcBorders>
            <w:shd w:val="pct60" w:color="000000" w:fill="FFFFFF"/>
          </w:tcPr>
          <w:p w14:paraId="51CBA674" w14:textId="77777777" w:rsidR="0070576F" w:rsidRDefault="0070576F" w:rsidP="00415CDC">
            <w:pPr>
              <w:pStyle w:val="UpdateFirstPara"/>
              <w:rPr>
                <w:color w:val="FFFFFF"/>
              </w:rPr>
            </w:pPr>
            <w:r>
              <w:rPr>
                <w:color w:val="FFFFFF"/>
              </w:rPr>
              <w:t>Conference</w:t>
            </w:r>
          </w:p>
        </w:tc>
        <w:tc>
          <w:tcPr>
            <w:tcW w:w="1720" w:type="dxa"/>
            <w:tcBorders>
              <w:top w:val="single" w:sz="12" w:space="0" w:color="000000"/>
              <w:bottom w:val="single" w:sz="6" w:space="0" w:color="000000"/>
            </w:tcBorders>
            <w:shd w:val="pct60" w:color="000000" w:fill="FFFFFF"/>
          </w:tcPr>
          <w:p w14:paraId="0CBD8962" w14:textId="77777777" w:rsidR="0070576F" w:rsidRDefault="0070576F" w:rsidP="00415CDC">
            <w:pPr>
              <w:pStyle w:val="UpdateFirstPara"/>
              <w:rPr>
                <w:color w:val="FFFFFF"/>
              </w:rPr>
            </w:pPr>
            <w:r>
              <w:rPr>
                <w:color w:val="FFFFFF"/>
              </w:rPr>
              <w:t>Venue</w:t>
            </w:r>
          </w:p>
        </w:tc>
      </w:tr>
      <w:tr w:rsidR="0070576F" w14:paraId="1A90EF20" w14:textId="77777777" w:rsidTr="00415CDC">
        <w:tblPrEx>
          <w:tblCellMar>
            <w:top w:w="0" w:type="dxa"/>
            <w:bottom w:w="0" w:type="dxa"/>
          </w:tblCellMar>
        </w:tblPrEx>
        <w:trPr>
          <w:jc w:val="center"/>
        </w:trPr>
        <w:tc>
          <w:tcPr>
            <w:tcW w:w="2102" w:type="dxa"/>
            <w:shd w:val="pct30" w:color="000000" w:fill="FFFFFF"/>
          </w:tcPr>
          <w:p w14:paraId="2C95E2D3" w14:textId="77777777" w:rsidR="0070576F" w:rsidRDefault="0070576F" w:rsidP="00415CDC">
            <w:pPr>
              <w:pStyle w:val="UpdateFirstPara"/>
              <w:rPr>
                <w:b/>
              </w:rPr>
            </w:pPr>
            <w:r>
              <w:rPr>
                <w:b/>
              </w:rPr>
              <w:t>12-14 March 1997</w:t>
            </w:r>
          </w:p>
        </w:tc>
        <w:tc>
          <w:tcPr>
            <w:tcW w:w="3249" w:type="dxa"/>
          </w:tcPr>
          <w:p w14:paraId="0D2B83E2" w14:textId="77777777" w:rsidR="0070576F" w:rsidRDefault="0070576F" w:rsidP="00415CDC">
            <w:pPr>
              <w:pStyle w:val="UpdateFirstPara"/>
            </w:pPr>
            <w:r>
              <w:t>Primary Health Care Conference</w:t>
            </w:r>
          </w:p>
        </w:tc>
        <w:tc>
          <w:tcPr>
            <w:tcW w:w="1720" w:type="dxa"/>
          </w:tcPr>
          <w:p w14:paraId="596F36AA" w14:textId="77777777" w:rsidR="0070576F" w:rsidRDefault="0070576F" w:rsidP="00415CDC">
            <w:pPr>
              <w:pStyle w:val="UpdateFirstPara"/>
            </w:pPr>
            <w:r>
              <w:t>Brisbane, QLD</w:t>
            </w:r>
          </w:p>
        </w:tc>
      </w:tr>
      <w:tr w:rsidR="0070576F" w14:paraId="1EC2586F" w14:textId="77777777" w:rsidTr="00415CDC">
        <w:tblPrEx>
          <w:tblCellMar>
            <w:top w:w="0" w:type="dxa"/>
            <w:bottom w:w="0" w:type="dxa"/>
          </w:tblCellMar>
        </w:tblPrEx>
        <w:trPr>
          <w:jc w:val="center"/>
        </w:trPr>
        <w:tc>
          <w:tcPr>
            <w:tcW w:w="2102" w:type="dxa"/>
            <w:shd w:val="pct30" w:color="000000" w:fill="FFFFFF"/>
          </w:tcPr>
          <w:p w14:paraId="45327086" w14:textId="77777777" w:rsidR="0070576F" w:rsidRDefault="0070576F" w:rsidP="00415CDC">
            <w:pPr>
              <w:pStyle w:val="UpdateFirstPara"/>
              <w:rPr>
                <w:b/>
              </w:rPr>
            </w:pPr>
            <w:r>
              <w:rPr>
                <w:b/>
              </w:rPr>
              <w:t>7-9 May 1997</w:t>
            </w:r>
          </w:p>
        </w:tc>
        <w:tc>
          <w:tcPr>
            <w:tcW w:w="3249" w:type="dxa"/>
          </w:tcPr>
          <w:p w14:paraId="3B138C9D" w14:textId="77777777" w:rsidR="0070576F" w:rsidRDefault="0070576F" w:rsidP="00415CDC">
            <w:pPr>
              <w:pStyle w:val="UpdateFirstPara"/>
            </w:pPr>
            <w:r>
              <w:t>RACP Annual Scientific Meeting</w:t>
            </w:r>
          </w:p>
        </w:tc>
        <w:tc>
          <w:tcPr>
            <w:tcW w:w="1720" w:type="dxa"/>
          </w:tcPr>
          <w:p w14:paraId="780624E5" w14:textId="77777777" w:rsidR="0070576F" w:rsidRDefault="0070576F" w:rsidP="00415CDC">
            <w:pPr>
              <w:pStyle w:val="UpdateFirstPara"/>
            </w:pPr>
            <w:r>
              <w:t>Auckland, NZ</w:t>
            </w:r>
          </w:p>
        </w:tc>
      </w:tr>
      <w:tr w:rsidR="0070576F" w14:paraId="56DBCEB9" w14:textId="77777777" w:rsidTr="00415CDC">
        <w:tblPrEx>
          <w:tblCellMar>
            <w:top w:w="0" w:type="dxa"/>
            <w:bottom w:w="0" w:type="dxa"/>
          </w:tblCellMar>
        </w:tblPrEx>
        <w:trPr>
          <w:jc w:val="center"/>
        </w:trPr>
        <w:tc>
          <w:tcPr>
            <w:tcW w:w="2102" w:type="dxa"/>
            <w:shd w:val="pct30" w:color="000000" w:fill="FFFFFF"/>
          </w:tcPr>
          <w:p w14:paraId="20C75BE4" w14:textId="77777777" w:rsidR="0070576F" w:rsidRDefault="0070576F" w:rsidP="00415CDC">
            <w:pPr>
              <w:pStyle w:val="UpdateFirstPara"/>
              <w:rPr>
                <w:b/>
              </w:rPr>
            </w:pPr>
            <w:r>
              <w:rPr>
                <w:b/>
              </w:rPr>
              <w:t>27-29 August 1997</w:t>
            </w:r>
          </w:p>
        </w:tc>
        <w:tc>
          <w:tcPr>
            <w:tcW w:w="3249" w:type="dxa"/>
          </w:tcPr>
          <w:p w14:paraId="1B1CEAD5" w14:textId="77777777" w:rsidR="0070576F" w:rsidRDefault="0070576F" w:rsidP="00415CDC">
            <w:pPr>
              <w:pStyle w:val="UpdateFirstPara"/>
            </w:pPr>
            <w:r>
              <w:t>RACMA Conference</w:t>
            </w:r>
          </w:p>
        </w:tc>
        <w:tc>
          <w:tcPr>
            <w:tcW w:w="1720" w:type="dxa"/>
          </w:tcPr>
          <w:p w14:paraId="3F69BF47" w14:textId="77777777" w:rsidR="0070576F" w:rsidRDefault="0070576F" w:rsidP="00415CDC">
            <w:pPr>
              <w:pStyle w:val="UpdateFirstPara"/>
            </w:pPr>
            <w:r>
              <w:t>Melbourne, VIC</w:t>
            </w:r>
          </w:p>
        </w:tc>
      </w:tr>
      <w:tr w:rsidR="0070576F" w14:paraId="664ECFC3" w14:textId="77777777" w:rsidTr="00415CDC">
        <w:tblPrEx>
          <w:tblCellMar>
            <w:top w:w="0" w:type="dxa"/>
            <w:bottom w:w="0" w:type="dxa"/>
          </w:tblCellMar>
        </w:tblPrEx>
        <w:trPr>
          <w:jc w:val="center"/>
        </w:trPr>
        <w:tc>
          <w:tcPr>
            <w:tcW w:w="2102" w:type="dxa"/>
            <w:tcBorders>
              <w:bottom w:val="single" w:sz="12" w:space="0" w:color="000000"/>
            </w:tcBorders>
            <w:shd w:val="pct30" w:color="000000" w:fill="FFFFFF"/>
          </w:tcPr>
          <w:p w14:paraId="4996776F" w14:textId="77777777" w:rsidR="0070576F" w:rsidRDefault="0070576F" w:rsidP="00415CDC">
            <w:pPr>
              <w:pStyle w:val="UpdateFirstPara"/>
              <w:rPr>
                <w:b/>
                <w:i/>
              </w:rPr>
            </w:pPr>
            <w:r>
              <w:rPr>
                <w:b/>
                <w:i/>
              </w:rPr>
              <w:t>29-31 August 1997</w:t>
            </w:r>
          </w:p>
        </w:tc>
        <w:tc>
          <w:tcPr>
            <w:tcW w:w="3249" w:type="dxa"/>
            <w:tcBorders>
              <w:bottom w:val="single" w:sz="12" w:space="0" w:color="000000"/>
            </w:tcBorders>
          </w:tcPr>
          <w:p w14:paraId="2C70AA34" w14:textId="77777777" w:rsidR="0070576F" w:rsidRDefault="0070576F" w:rsidP="00415CDC">
            <w:pPr>
              <w:pStyle w:val="UpdateFirstPara"/>
              <w:rPr>
                <w:b/>
                <w:i/>
              </w:rPr>
            </w:pPr>
            <w:r>
              <w:rPr>
                <w:b/>
                <w:i/>
              </w:rPr>
              <w:t>6th AMMA Conference</w:t>
            </w:r>
          </w:p>
        </w:tc>
        <w:tc>
          <w:tcPr>
            <w:tcW w:w="1720" w:type="dxa"/>
            <w:tcBorders>
              <w:bottom w:val="single" w:sz="12" w:space="0" w:color="000000"/>
            </w:tcBorders>
          </w:tcPr>
          <w:p w14:paraId="793E4E4D" w14:textId="77777777" w:rsidR="0070576F" w:rsidRDefault="0070576F" w:rsidP="00415CDC">
            <w:pPr>
              <w:pStyle w:val="UpdateFirstPara"/>
              <w:rPr>
                <w:b/>
                <w:i/>
              </w:rPr>
            </w:pPr>
            <w:r>
              <w:rPr>
                <w:b/>
                <w:i/>
              </w:rPr>
              <w:t>Melbourne, VIC</w:t>
            </w:r>
          </w:p>
        </w:tc>
      </w:tr>
    </w:tbl>
    <w:p w14:paraId="78856C57" w14:textId="77777777" w:rsidR="0070576F" w:rsidRDefault="0070576F" w:rsidP="0070576F">
      <w:pPr>
        <w:pStyle w:val="UpdateFirstPara"/>
      </w:pPr>
    </w:p>
    <w:p w14:paraId="319A3327" w14:textId="77777777" w:rsidR="0070576F" w:rsidRDefault="0070576F" w:rsidP="0070576F">
      <w:pPr>
        <w:pStyle w:val="UpdatePara"/>
        <w:sectPr w:rsidR="0070576F">
          <w:footnotePr>
            <w:numRestart w:val="eachPage"/>
          </w:footnotePr>
          <w:type w:val="continuous"/>
          <w:pgSz w:w="11907" w:h="16840"/>
          <w:pgMar w:top="1440" w:right="851" w:bottom="1440" w:left="851" w:header="720" w:footer="720" w:gutter="0"/>
          <w:cols w:space="284"/>
          <w:noEndnote/>
        </w:sectPr>
      </w:pPr>
    </w:p>
    <w:p w14:paraId="03A9283A" w14:textId="77777777" w:rsidR="0070576F" w:rsidRDefault="0070576F" w:rsidP="0070576F">
      <w:pPr>
        <w:pStyle w:val="UpdateFirstPara"/>
      </w:pPr>
    </w:p>
    <w:p w14:paraId="0B78F05F" w14:textId="77777777" w:rsidR="0070576F" w:rsidRDefault="0070576F" w:rsidP="0070576F">
      <w:pPr>
        <w:pStyle w:val="UpdateHeading"/>
        <w:pageBreakBefore/>
      </w:pPr>
      <w:r>
        <w:lastRenderedPageBreak/>
        <w:t>Research Grants</w:t>
      </w:r>
    </w:p>
    <w:p w14:paraId="39AA21F0" w14:textId="77777777" w:rsidR="0070576F" w:rsidRDefault="0070576F" w:rsidP="0070576F">
      <w:pPr>
        <w:pStyle w:val="UpdateFirstPara"/>
      </w:pPr>
    </w:p>
    <w:p w14:paraId="4EE4BB38" w14:textId="77777777" w:rsidR="0070576F" w:rsidRDefault="0070576F" w:rsidP="0070576F">
      <w:pPr>
        <w:pStyle w:val="ArticlePara"/>
        <w:sectPr w:rsidR="0070576F">
          <w:footerReference w:type="even" r:id="rId13"/>
          <w:footnotePr>
            <w:numRestart w:val="eachPage"/>
          </w:footnotePr>
          <w:type w:val="continuous"/>
          <w:pgSz w:w="11907" w:h="16840"/>
          <w:pgMar w:top="1440" w:right="851" w:bottom="1440" w:left="851" w:header="720" w:footer="720" w:gutter="0"/>
          <w:cols w:space="284"/>
          <w:noEndnote/>
        </w:sectPr>
      </w:pPr>
    </w:p>
    <w:p w14:paraId="37EF34AD" w14:textId="77777777" w:rsidR="0070576F" w:rsidRDefault="0070576F" w:rsidP="0070576F">
      <w:pPr>
        <w:pStyle w:val="UpdateFirstPara"/>
      </w:pPr>
      <w:r>
        <w:t>The AMMA Research Grant, to a total of $2 000, is awarded annually by the Association’s Council.</w:t>
      </w:r>
    </w:p>
    <w:p w14:paraId="6EC4A8D0" w14:textId="77777777" w:rsidR="0070576F" w:rsidRDefault="0070576F" w:rsidP="0070576F">
      <w:pPr>
        <w:pStyle w:val="UpdateSub-Heading"/>
      </w:pPr>
      <w:r>
        <w:t>Conditions</w:t>
      </w:r>
    </w:p>
    <w:p w14:paraId="098D16D9" w14:textId="77777777" w:rsidR="0070576F" w:rsidRDefault="0070576F" w:rsidP="0070576F">
      <w:pPr>
        <w:pStyle w:val="UpdateFirstPara"/>
        <w:numPr>
          <w:ilvl w:val="0"/>
          <w:numId w:val="1"/>
        </w:numPr>
      </w:pPr>
      <w:r>
        <w:t>Distribution of the Grant may be in one or more lots, as determined by AMMA Council.</w:t>
      </w:r>
    </w:p>
    <w:p w14:paraId="04B229E0" w14:textId="77777777" w:rsidR="0070576F" w:rsidRDefault="0070576F" w:rsidP="0070576F">
      <w:pPr>
        <w:pStyle w:val="UpdateFirstPara"/>
        <w:numPr>
          <w:ilvl w:val="0"/>
          <w:numId w:val="1"/>
        </w:numPr>
      </w:pPr>
      <w:r>
        <w:t>Principal researcher is to be a member of AMMA.</w:t>
      </w:r>
    </w:p>
    <w:p w14:paraId="41FD1BD7" w14:textId="77777777" w:rsidR="0070576F" w:rsidRDefault="0070576F" w:rsidP="0070576F">
      <w:pPr>
        <w:pStyle w:val="UpdateFirstPara"/>
        <w:numPr>
          <w:ilvl w:val="0"/>
          <w:numId w:val="1"/>
        </w:numPr>
      </w:pPr>
      <w:r>
        <w:t>Research must be in the field of med</w:t>
      </w:r>
      <w:r>
        <w:t>i</w:t>
      </w:r>
      <w:r>
        <w:t>cine.</w:t>
      </w:r>
    </w:p>
    <w:p w14:paraId="2621DA0E" w14:textId="77777777" w:rsidR="0070576F" w:rsidRDefault="0070576F" w:rsidP="0070576F">
      <w:pPr>
        <w:pStyle w:val="UpdateFirstPara"/>
        <w:numPr>
          <w:ilvl w:val="0"/>
          <w:numId w:val="1"/>
        </w:numPr>
      </w:pPr>
      <w:r>
        <w:t xml:space="preserve">There must be a commitment to publish in </w:t>
      </w:r>
      <w:r>
        <w:rPr>
          <w:i/>
        </w:rPr>
        <w:t>Australian Military Medicine</w:t>
      </w:r>
      <w:r>
        <w:t>. There may be recourse to publish in another publication should Council determine that the research is of sufficient import to justify this.</w:t>
      </w:r>
    </w:p>
    <w:p w14:paraId="7BB7017B" w14:textId="77777777" w:rsidR="0070576F" w:rsidRDefault="0070576F" w:rsidP="0070576F">
      <w:pPr>
        <w:pStyle w:val="UpdateFirstPara"/>
        <w:numPr>
          <w:ilvl w:val="0"/>
          <w:numId w:val="1"/>
        </w:numPr>
      </w:pPr>
      <w:r>
        <w:t>Grants are to be made preferentially to projects that otherwise may not proceed.</w:t>
      </w:r>
    </w:p>
    <w:p w14:paraId="36C0C6F1" w14:textId="77777777" w:rsidR="0070576F" w:rsidRDefault="0070576F" w:rsidP="0070576F">
      <w:pPr>
        <w:pStyle w:val="UpdateFirstPara"/>
        <w:numPr>
          <w:ilvl w:val="0"/>
          <w:numId w:val="1"/>
        </w:numPr>
      </w:pPr>
      <w:r>
        <w:t>Grants are not to be made to projects that have other sources of funding, other than the researchers themselves.</w:t>
      </w:r>
    </w:p>
    <w:p w14:paraId="1C9CDDC0" w14:textId="77777777" w:rsidR="0070576F" w:rsidRDefault="0070576F" w:rsidP="0070576F">
      <w:pPr>
        <w:pStyle w:val="UpdateSub-Heading"/>
      </w:pPr>
      <w:r>
        <w:t>Proposals</w:t>
      </w:r>
    </w:p>
    <w:p w14:paraId="48F3CC31" w14:textId="77777777" w:rsidR="0070576F" w:rsidRDefault="0070576F" w:rsidP="0070576F">
      <w:pPr>
        <w:pStyle w:val="UpdateFirstPara"/>
        <w:numPr>
          <w:ilvl w:val="0"/>
          <w:numId w:val="1"/>
        </w:numPr>
      </w:pPr>
      <w:r>
        <w:t>Proposals that require ADMEC approval are to submit the completed ADMEC submission with the Grant applic</w:t>
      </w:r>
      <w:r>
        <w:t>a</w:t>
      </w:r>
      <w:r>
        <w:t>tion.</w:t>
      </w:r>
    </w:p>
    <w:p w14:paraId="4BED4B8B" w14:textId="77777777" w:rsidR="0070576F" w:rsidRDefault="0070576F" w:rsidP="0070576F">
      <w:pPr>
        <w:pStyle w:val="UpdateFirstPara"/>
        <w:numPr>
          <w:ilvl w:val="0"/>
          <w:numId w:val="1"/>
        </w:numPr>
      </w:pPr>
      <w:r>
        <w:t>Proposals that do not require ADMEC approval are to provide:</w:t>
      </w:r>
    </w:p>
    <w:p w14:paraId="6977E1DE" w14:textId="77777777" w:rsidR="0070576F" w:rsidRDefault="0070576F" w:rsidP="0070576F">
      <w:pPr>
        <w:pStyle w:val="UpdateFirstPara"/>
        <w:numPr>
          <w:ilvl w:val="0"/>
          <w:numId w:val="1"/>
        </w:numPr>
        <w:ind w:left="1003"/>
      </w:pPr>
      <w:r>
        <w:t>Principal researcher’s publication hi</w:t>
      </w:r>
      <w:r>
        <w:t>s</w:t>
      </w:r>
      <w:r>
        <w:t>tory</w:t>
      </w:r>
    </w:p>
    <w:p w14:paraId="372101B4" w14:textId="77777777" w:rsidR="0070576F" w:rsidRDefault="0070576F" w:rsidP="0070576F">
      <w:pPr>
        <w:pStyle w:val="UpdateFirstPara"/>
        <w:numPr>
          <w:ilvl w:val="0"/>
          <w:numId w:val="1"/>
        </w:numPr>
        <w:ind w:left="1003"/>
      </w:pPr>
      <w:r>
        <w:t>Synopsis of proposed research (100-250 words)</w:t>
      </w:r>
    </w:p>
    <w:p w14:paraId="084B1A21" w14:textId="77777777" w:rsidR="0070576F" w:rsidRDefault="0070576F" w:rsidP="0070576F">
      <w:pPr>
        <w:pStyle w:val="UpdateFirstPara"/>
        <w:numPr>
          <w:ilvl w:val="0"/>
          <w:numId w:val="1"/>
        </w:numPr>
        <w:ind w:left="1003"/>
      </w:pPr>
      <w:r>
        <w:t>Brief review of the subject (around 250 words)</w:t>
      </w:r>
    </w:p>
    <w:p w14:paraId="44361F42" w14:textId="77777777" w:rsidR="0070576F" w:rsidRDefault="0070576F" w:rsidP="0070576F">
      <w:pPr>
        <w:pStyle w:val="UpdateFirstPara"/>
        <w:numPr>
          <w:ilvl w:val="0"/>
          <w:numId w:val="1"/>
        </w:numPr>
        <w:ind w:left="1003"/>
      </w:pPr>
      <w:r>
        <w:t>Timeframe of research</w:t>
      </w:r>
    </w:p>
    <w:p w14:paraId="6B59F473" w14:textId="77777777" w:rsidR="0070576F" w:rsidRDefault="0070576F" w:rsidP="0070576F">
      <w:pPr>
        <w:pStyle w:val="UpdateFirstPara"/>
        <w:numPr>
          <w:ilvl w:val="0"/>
          <w:numId w:val="1"/>
        </w:numPr>
        <w:ind w:left="1003"/>
      </w:pPr>
      <w:r>
        <w:t>Other researchers</w:t>
      </w:r>
    </w:p>
    <w:p w14:paraId="7503D8EF" w14:textId="77777777" w:rsidR="0070576F" w:rsidRDefault="0070576F" w:rsidP="0070576F">
      <w:pPr>
        <w:pStyle w:val="UpdateFirstPara"/>
        <w:numPr>
          <w:ilvl w:val="0"/>
          <w:numId w:val="1"/>
        </w:numPr>
      </w:pPr>
      <w:r>
        <w:t>All proposals are to submit:</w:t>
      </w:r>
    </w:p>
    <w:p w14:paraId="2FA63E17" w14:textId="77777777" w:rsidR="0070576F" w:rsidRDefault="0070576F" w:rsidP="0070576F">
      <w:pPr>
        <w:pStyle w:val="UpdateFirstPara"/>
        <w:numPr>
          <w:ilvl w:val="0"/>
          <w:numId w:val="1"/>
        </w:numPr>
        <w:ind w:left="1003"/>
      </w:pPr>
      <w:r>
        <w:t>Resource requirements and source of resources</w:t>
      </w:r>
    </w:p>
    <w:p w14:paraId="17A8B62D" w14:textId="77777777" w:rsidR="0070576F" w:rsidRDefault="0070576F" w:rsidP="0070576F">
      <w:pPr>
        <w:pStyle w:val="UpdateFirstPara"/>
        <w:numPr>
          <w:ilvl w:val="0"/>
          <w:numId w:val="1"/>
        </w:numPr>
        <w:ind w:left="1003"/>
      </w:pPr>
      <w:r>
        <w:t>Resources requested and amount of requested grant</w:t>
      </w:r>
    </w:p>
    <w:p w14:paraId="3E618A34" w14:textId="77777777" w:rsidR="0070576F" w:rsidRDefault="0070576F" w:rsidP="0070576F">
      <w:pPr>
        <w:pStyle w:val="UpdateFirstPara"/>
        <w:numPr>
          <w:ilvl w:val="0"/>
          <w:numId w:val="1"/>
        </w:numPr>
      </w:pPr>
      <w:r>
        <w:t>There are to be six monthly reports of progress to AMMA</w:t>
      </w:r>
    </w:p>
    <w:p w14:paraId="3EFFCD06" w14:textId="77777777" w:rsidR="0070576F" w:rsidRDefault="0070576F" w:rsidP="0070576F">
      <w:pPr>
        <w:pStyle w:val="UpdateSub-Heading"/>
      </w:pPr>
      <w:r>
        <w:t>Applications</w:t>
      </w:r>
    </w:p>
    <w:p w14:paraId="76693ABD" w14:textId="77777777" w:rsidR="0070576F" w:rsidRDefault="0070576F" w:rsidP="0070576F">
      <w:pPr>
        <w:pStyle w:val="UpdateFirstPara"/>
        <w:numPr>
          <w:ilvl w:val="0"/>
          <w:numId w:val="1"/>
        </w:numPr>
      </w:pPr>
      <w:r>
        <w:t>Applications may be received at any time, but Grants will be awarded once a year only. Applications for the years allocation close on 30 April.</w:t>
      </w:r>
    </w:p>
    <w:p w14:paraId="3DFF6384" w14:textId="77777777" w:rsidR="0070576F" w:rsidRDefault="0070576F" w:rsidP="0070576F">
      <w:pPr>
        <w:pStyle w:val="UpdateFirstPara"/>
        <w:numPr>
          <w:ilvl w:val="0"/>
          <w:numId w:val="1"/>
        </w:numPr>
      </w:pPr>
      <w:r>
        <w:t>Successful applicants will be determined by Council by 30 June and advised by 7 July.</w:t>
      </w:r>
    </w:p>
    <w:p w14:paraId="0999865D" w14:textId="77777777" w:rsidR="0070576F" w:rsidRDefault="0070576F" w:rsidP="0070576F">
      <w:pPr>
        <w:pStyle w:val="UpdateFirstPara"/>
        <w:numPr>
          <w:ilvl w:val="0"/>
          <w:numId w:val="1"/>
        </w:numPr>
      </w:pPr>
      <w:r>
        <w:t>A sub-Committee of Council, comprising one or more members, may be established to recommend to Council the distribution of Grants and to administer and monitor the Grants sy</w:t>
      </w:r>
      <w:r>
        <w:t>s</w:t>
      </w:r>
      <w:r>
        <w:t>tem.</w:t>
      </w:r>
    </w:p>
    <w:p w14:paraId="61C4553B" w14:textId="77777777" w:rsidR="0070576F" w:rsidRDefault="0070576F" w:rsidP="0070576F">
      <w:pPr>
        <w:pStyle w:val="UpdateFirstPara"/>
        <w:numPr>
          <w:ilvl w:val="0"/>
          <w:numId w:val="1"/>
        </w:numPr>
        <w:sectPr w:rsidR="0070576F">
          <w:footnotePr>
            <w:numRestart w:val="eachPage"/>
          </w:footnotePr>
          <w:type w:val="continuous"/>
          <w:pgSz w:w="11907" w:h="16840"/>
          <w:pgMar w:top="1440" w:right="851" w:bottom="1440" w:left="851" w:header="720" w:footer="720" w:gutter="0"/>
          <w:cols w:num="2" w:space="284"/>
          <w:noEndnote/>
        </w:sectPr>
      </w:pPr>
      <w:r>
        <w:t xml:space="preserve">No correspondence will be </w:t>
      </w:r>
      <w:proofErr w:type="gramStart"/>
      <w:r>
        <w:t>entered into</w:t>
      </w:r>
      <w:proofErr w:type="gramEnd"/>
      <w:r>
        <w:t xml:space="preserve"> regarding the distribution of Grants.</w:t>
      </w:r>
    </w:p>
    <w:p w14:paraId="4406A228" w14:textId="77777777" w:rsidR="0070576F" w:rsidRDefault="0070576F" w:rsidP="0070576F">
      <w:pPr>
        <w:pStyle w:val="UpdateSub-Heading"/>
        <w:jc w:val="center"/>
      </w:pPr>
      <w:r>
        <w:t>Submissions are to be sent to:</w:t>
      </w:r>
    </w:p>
    <w:p w14:paraId="4D87BDAF" w14:textId="77777777" w:rsidR="0070576F" w:rsidRDefault="0070576F" w:rsidP="0070576F">
      <w:pPr>
        <w:pStyle w:val="UpdateFirstPara"/>
        <w:jc w:val="center"/>
      </w:pPr>
      <w:r>
        <w:t>The Secretary</w:t>
      </w:r>
    </w:p>
    <w:p w14:paraId="6B84C4A7" w14:textId="77777777" w:rsidR="0070576F" w:rsidRDefault="0070576F" w:rsidP="0070576F">
      <w:pPr>
        <w:pStyle w:val="UpdateFirstPara"/>
        <w:jc w:val="center"/>
      </w:pPr>
      <w:r>
        <w:t>AMMA</w:t>
      </w:r>
    </w:p>
    <w:p w14:paraId="5F7931F4" w14:textId="77777777" w:rsidR="0070576F" w:rsidRDefault="0070576F" w:rsidP="0070576F">
      <w:pPr>
        <w:pStyle w:val="UpdateFirstPara"/>
        <w:jc w:val="center"/>
      </w:pPr>
      <w:r>
        <w:t>PO Box 373</w:t>
      </w:r>
    </w:p>
    <w:p w14:paraId="477E3E13" w14:textId="77777777" w:rsidR="0070576F" w:rsidRDefault="0070576F" w:rsidP="0070576F">
      <w:pPr>
        <w:pStyle w:val="UpdateFirstPara"/>
        <w:jc w:val="center"/>
      </w:pPr>
      <w:r>
        <w:t>MOONAH   TAS   7009</w:t>
      </w:r>
    </w:p>
    <w:p w14:paraId="51202FF9" w14:textId="77777777" w:rsidR="0070576F" w:rsidRDefault="0070576F" w:rsidP="0070576F">
      <w:pPr>
        <w:pStyle w:val="UpdateSub-Heading"/>
        <w:jc w:val="center"/>
      </w:pPr>
      <w:r>
        <w:t>All enquiries should be directed to:</w:t>
      </w:r>
    </w:p>
    <w:p w14:paraId="5ADD51D3" w14:textId="77777777" w:rsidR="0070576F" w:rsidRDefault="0070576F" w:rsidP="0070576F">
      <w:pPr>
        <w:pStyle w:val="UpdateFirstPara"/>
        <w:jc w:val="center"/>
      </w:pPr>
      <w:r>
        <w:t>Janet Scott:</w:t>
      </w:r>
    </w:p>
    <w:p w14:paraId="7798FAD8" w14:textId="77777777" w:rsidR="0070576F" w:rsidRDefault="0070576F" w:rsidP="0070576F">
      <w:pPr>
        <w:pStyle w:val="UpdateFirstPara"/>
        <w:jc w:val="center"/>
      </w:pPr>
      <w:r>
        <w:t>Tel: (08) 272-7399</w:t>
      </w:r>
    </w:p>
    <w:p w14:paraId="42DC1F96" w14:textId="77777777" w:rsidR="0070576F" w:rsidRDefault="0070576F" w:rsidP="0070576F">
      <w:pPr>
        <w:pStyle w:val="UpdateFirstPara"/>
        <w:jc w:val="center"/>
        <w:sectPr w:rsidR="0070576F">
          <w:footnotePr>
            <w:numRestart w:val="eachPage"/>
          </w:footnotePr>
          <w:type w:val="continuous"/>
          <w:pgSz w:w="11907" w:h="16840"/>
          <w:pgMar w:top="1440" w:right="851" w:bottom="1440" w:left="851" w:header="720" w:footer="720" w:gutter="0"/>
          <w:cols w:space="284"/>
          <w:noEndnote/>
        </w:sectPr>
      </w:pPr>
    </w:p>
    <w:p w14:paraId="0DE7FA80" w14:textId="77777777" w:rsidR="001E21CA" w:rsidRDefault="001E21CA">
      <w:bookmarkStart w:id="0" w:name="_GoBack"/>
      <w:bookmarkEnd w:id="0"/>
    </w:p>
    <w:sectPr w:rsidR="001E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94F1" w14:textId="77777777" w:rsidR="00686B70" w:rsidRDefault="0070576F">
    <w:pPr>
      <w:pStyle w:val="Footer"/>
      <w:pBdr>
        <w:bottom w:val="single" w:sz="48" w:space="1" w:color="auto"/>
      </w:pBdr>
      <w:shd w:val="pct25" w:color="auto" w:fill="auto"/>
      <w:rPr>
        <w:sz w:val="72"/>
      </w:rPr>
    </w:pPr>
  </w:p>
  <w:p w14:paraId="1E26A8CF" w14:textId="77777777" w:rsidR="00686B70" w:rsidRDefault="0070576F">
    <w:pPr>
      <w:pStyle w:val="Footer"/>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26</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ED82" w14:textId="77777777" w:rsidR="00686B70" w:rsidRDefault="0070576F">
    <w:pPr>
      <w:pStyle w:val="Footer"/>
      <w:pBdr>
        <w:bottom w:val="single" w:sz="48" w:space="1" w:color="auto"/>
      </w:pBdr>
      <w:rPr>
        <w:sz w:val="36"/>
      </w:rPr>
    </w:pPr>
  </w:p>
  <w:p w14:paraId="20D35245" w14:textId="77777777" w:rsidR="00686B70" w:rsidRDefault="0070576F">
    <w:pPr>
      <w:pStyle w:val="Footer"/>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Pr>
      <w:t>29</w:t>
    </w:r>
    <w:r>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1E9B" w14:textId="77777777" w:rsidR="00686B70" w:rsidRDefault="0070576F">
    <w:pPr>
      <w:pStyle w:val="Footer"/>
      <w:pBdr>
        <w:bottom w:val="single" w:sz="48" w:space="1" w:color="auto"/>
      </w:pBdr>
      <w:rPr>
        <w:sz w:val="36"/>
      </w:rPr>
    </w:pPr>
  </w:p>
  <w:p w14:paraId="4407D954" w14:textId="77777777" w:rsidR="00686B70" w:rsidRDefault="0070576F">
    <w:pPr>
      <w:pStyle w:val="Footer"/>
      <w:jc w:val="cente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Pr>
      <w:t>29</w:t>
    </w:r>
    <w:r>
      <w:rPr>
        <w:rStyle w:val="PageNumb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D699" w14:textId="77777777" w:rsidR="00686B70" w:rsidRDefault="0070576F">
    <w:pPr>
      <w:pStyle w:val="Footer"/>
      <w:pBdr>
        <w:bottom w:val="single" w:sz="48" w:space="1" w:color="auto"/>
      </w:pBdr>
      <w:shd w:val="pct25" w:color="auto" w:fill="auto"/>
      <w:rPr>
        <w:sz w:val="72"/>
      </w:rPr>
    </w:pPr>
  </w:p>
  <w:p w14:paraId="3683959B" w14:textId="77777777" w:rsidR="00686B70" w:rsidRDefault="0070576F">
    <w:pPr>
      <w:pStyle w:val="Footer"/>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27</w:t>
    </w:r>
    <w:r>
      <w:rPr>
        <w:rStyle w:val="PageNumb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630D" w14:textId="77777777" w:rsidR="00686B70" w:rsidRDefault="0070576F">
    <w:pPr>
      <w:pStyle w:val="Footer"/>
      <w:pBdr>
        <w:bottom w:val="single" w:sz="48" w:space="1" w:color="auto"/>
      </w:pBdr>
      <w:shd w:val="pct25" w:color="auto" w:fill="auto"/>
      <w:rPr>
        <w:sz w:val="72"/>
      </w:rPr>
    </w:pPr>
  </w:p>
  <w:p w14:paraId="7762E294" w14:textId="77777777" w:rsidR="00686B70" w:rsidRDefault="0070576F">
    <w:pPr>
      <w:pStyle w:val="Footer"/>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28</w:t>
    </w:r>
    <w:r>
      <w:rPr>
        <w:rStyle w:val="PageNumbe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A5B8" w14:textId="77777777" w:rsidR="00686B70" w:rsidRDefault="0070576F">
    <w:pPr>
      <w:pStyle w:val="Header"/>
      <w:rPr>
        <w:i/>
      </w:rPr>
    </w:pPr>
    <w:r>
      <w:rPr>
        <w:i/>
      </w:rPr>
      <w:t>Aus</w:t>
    </w:r>
    <w:r>
      <w:rPr>
        <w:i/>
      </w:rPr>
      <w:t>tralian Military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8A9E" w14:textId="77777777" w:rsidR="00686B70" w:rsidRDefault="0070576F">
    <w:pPr>
      <w:pStyle w:val="Header"/>
      <w:jc w:val="right"/>
      <w:rPr>
        <w:i/>
        <w:sz w:val="18"/>
      </w:rPr>
    </w:pPr>
    <w:r>
      <w:rPr>
        <w:i/>
        <w:sz w:val="18"/>
      </w:rPr>
      <w:t>Volume 5 Number 3, December 1996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0FC9" w14:textId="77777777" w:rsidR="00686B70" w:rsidRDefault="0070576F">
    <w:pPr>
      <w:pStyle w:val="Header"/>
      <w:jc w:val="right"/>
    </w:pPr>
    <w:r>
      <w:rPr>
        <w:i/>
      </w:rPr>
      <w:t>Australian Military Medicine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E3AE" w14:textId="77777777" w:rsidR="00686B70" w:rsidRDefault="0070576F">
    <w:pPr>
      <w:pStyle w:val="Header"/>
    </w:pPr>
    <w:r>
      <w:rPr>
        <w:i/>
      </w:rPr>
      <w:t>Volume 5 Number 3, December 1996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4048F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6F"/>
    <w:rsid w:val="001E21CA"/>
    <w:rsid w:val="0070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8144"/>
  <w15:chartTrackingRefBased/>
  <w15:docId w15:val="{A9814784-C1EF-4018-B504-DA631563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7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7057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0576F"/>
  </w:style>
  <w:style w:type="paragraph" w:styleId="Header">
    <w:name w:val="header"/>
    <w:basedOn w:val="Normal"/>
    <w:link w:val="HeaderChar"/>
    <w:semiHidden/>
    <w:rsid w:val="0070576F"/>
    <w:pPr>
      <w:tabs>
        <w:tab w:val="center" w:pos="4153"/>
        <w:tab w:val="right" w:pos="8306"/>
      </w:tabs>
    </w:pPr>
  </w:style>
  <w:style w:type="character" w:customStyle="1" w:styleId="HeaderChar">
    <w:name w:val="Header Char"/>
    <w:basedOn w:val="DefaultParagraphFont"/>
    <w:link w:val="Header"/>
    <w:semiHidden/>
    <w:rsid w:val="0070576F"/>
    <w:rPr>
      <w:rFonts w:ascii="Times New Roman" w:eastAsia="Times New Roman" w:hAnsi="Times New Roman" w:cs="Times New Roman"/>
      <w:sz w:val="20"/>
      <w:szCs w:val="20"/>
      <w:lang w:val="en-AU" w:eastAsia="en-AU"/>
    </w:rPr>
  </w:style>
  <w:style w:type="paragraph" w:styleId="Footer">
    <w:name w:val="footer"/>
    <w:basedOn w:val="Normal"/>
    <w:link w:val="FooterChar"/>
    <w:semiHidden/>
    <w:rsid w:val="0070576F"/>
    <w:pPr>
      <w:tabs>
        <w:tab w:val="center" w:pos="4153"/>
        <w:tab w:val="right" w:pos="8306"/>
      </w:tabs>
    </w:pPr>
  </w:style>
  <w:style w:type="character" w:customStyle="1" w:styleId="FooterChar">
    <w:name w:val="Footer Char"/>
    <w:basedOn w:val="DefaultParagraphFont"/>
    <w:link w:val="Footer"/>
    <w:semiHidden/>
    <w:rsid w:val="0070576F"/>
    <w:rPr>
      <w:rFonts w:ascii="Times New Roman" w:eastAsia="Times New Roman" w:hAnsi="Times New Roman" w:cs="Times New Roman"/>
      <w:sz w:val="20"/>
      <w:szCs w:val="20"/>
      <w:lang w:val="en-AU" w:eastAsia="en-AU"/>
    </w:rPr>
  </w:style>
  <w:style w:type="paragraph" w:customStyle="1" w:styleId="ArticlePara">
    <w:name w:val="Article Para"/>
    <w:basedOn w:val="Normal"/>
    <w:rsid w:val="0070576F"/>
    <w:pPr>
      <w:tabs>
        <w:tab w:val="left" w:pos="567"/>
      </w:tabs>
      <w:ind w:firstLine="567"/>
      <w:jc w:val="both"/>
    </w:pPr>
    <w:rPr>
      <w:rFonts w:ascii="Century Schoolbook" w:hAnsi="Century Schoolbook"/>
      <w:sz w:val="18"/>
    </w:rPr>
  </w:style>
  <w:style w:type="paragraph" w:customStyle="1" w:styleId="UpdateSection">
    <w:name w:val="Update Section"/>
    <w:basedOn w:val="UpdateHeading"/>
    <w:next w:val="UpdateFirstPara"/>
    <w:rsid w:val="0070576F"/>
    <w:pPr>
      <w:pageBreakBefore/>
      <w:pBdr>
        <w:bottom w:val="single" w:sz="48" w:space="1" w:color="auto"/>
      </w:pBdr>
      <w:spacing w:before="0"/>
      <w:jc w:val="center"/>
    </w:pPr>
    <w:rPr>
      <w:rFonts w:ascii="Times New Roman" w:hAnsi="Times New Roman"/>
      <w:i w:val="0"/>
      <w:sz w:val="152"/>
    </w:rPr>
  </w:style>
  <w:style w:type="paragraph" w:customStyle="1" w:styleId="UpdateHeading">
    <w:name w:val="Update Heading"/>
    <w:basedOn w:val="Heading1"/>
    <w:next w:val="UpdateFirstPara"/>
    <w:rsid w:val="0070576F"/>
    <w:pPr>
      <w:suppressAutoHyphens/>
      <w:spacing w:after="60"/>
      <w:outlineLvl w:val="9"/>
    </w:pPr>
    <w:rPr>
      <w:rFonts w:ascii="Arial" w:eastAsia="Times New Roman" w:hAnsi="Arial" w:cs="Times New Roman"/>
      <w:b/>
      <w:i/>
      <w:color w:val="auto"/>
      <w:spacing w:val="-2"/>
      <w:kern w:val="28"/>
      <w:sz w:val="36"/>
      <w:szCs w:val="20"/>
    </w:rPr>
  </w:style>
  <w:style w:type="paragraph" w:customStyle="1" w:styleId="UpdateFirstPara">
    <w:name w:val="Update First Para"/>
    <w:basedOn w:val="Normal"/>
    <w:next w:val="UpdatePara"/>
    <w:rsid w:val="0070576F"/>
    <w:pPr>
      <w:suppressAutoHyphens/>
    </w:pPr>
    <w:rPr>
      <w:rFonts w:ascii="Arial" w:hAnsi="Arial"/>
    </w:rPr>
  </w:style>
  <w:style w:type="paragraph" w:customStyle="1" w:styleId="UpdatePara">
    <w:name w:val="Update Para"/>
    <w:basedOn w:val="Normal"/>
    <w:rsid w:val="0070576F"/>
    <w:pPr>
      <w:tabs>
        <w:tab w:val="left" w:pos="284"/>
      </w:tabs>
      <w:suppressAutoHyphens/>
      <w:ind w:firstLine="284"/>
    </w:pPr>
    <w:rPr>
      <w:rFonts w:ascii="Arial" w:hAnsi="Arial"/>
    </w:rPr>
  </w:style>
  <w:style w:type="paragraph" w:customStyle="1" w:styleId="UpdateSub-Heading">
    <w:name w:val="Update Sub-Heading"/>
    <w:basedOn w:val="UpdateHeading"/>
    <w:next w:val="UpdateFirstPara"/>
    <w:rsid w:val="0070576F"/>
    <w:rPr>
      <w:b w:val="0"/>
      <w:sz w:val="28"/>
    </w:rPr>
  </w:style>
  <w:style w:type="character" w:customStyle="1" w:styleId="Heading1Char">
    <w:name w:val="Heading 1 Char"/>
    <w:basedOn w:val="DefaultParagraphFont"/>
    <w:link w:val="Heading1"/>
    <w:uiPriority w:val="9"/>
    <w:rsid w:val="0070576F"/>
    <w:rPr>
      <w:rFonts w:asciiTheme="majorHAnsi" w:eastAsiaTheme="majorEastAsia" w:hAnsiTheme="majorHAnsi" w:cstheme="majorBidi"/>
      <w:color w:val="2F5496" w:themeColor="accent1" w:themeShade="BF"/>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Abblitt</dc:creator>
  <cp:keywords/>
  <dc:description/>
  <cp:lastModifiedBy>Ebony Abblitt</cp:lastModifiedBy>
  <cp:revision>1</cp:revision>
  <dcterms:created xsi:type="dcterms:W3CDTF">2018-05-03T01:35:00Z</dcterms:created>
  <dcterms:modified xsi:type="dcterms:W3CDTF">2018-05-03T01:44:00Z</dcterms:modified>
</cp:coreProperties>
</file>