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33BD8" w14:textId="77777777" w:rsidR="00D8230A" w:rsidRDefault="00D8230A" w:rsidP="00D8230A">
      <w:pPr>
        <w:pStyle w:val="ArticleSection"/>
      </w:pPr>
      <w:r>
        <w:t>Conference Report</w:t>
      </w:r>
    </w:p>
    <w:p w14:paraId="1F9B897D" w14:textId="77777777" w:rsidR="00D8230A" w:rsidRDefault="00D8230A" w:rsidP="00D8230A">
      <w:pPr>
        <w:pStyle w:val="ArticleTitle"/>
      </w:pPr>
      <w:r>
        <w:t>5th AMMA Scientific Conference, Hyatt Hotel, Canberra</w:t>
      </w:r>
    </w:p>
    <w:p w14:paraId="2CF646D8" w14:textId="77777777" w:rsidR="00D8230A" w:rsidRDefault="00D8230A" w:rsidP="00D8230A">
      <w:pPr>
        <w:pStyle w:val="ArticlePara"/>
      </w:pPr>
    </w:p>
    <w:p w14:paraId="7F089C6A" w14:textId="77777777" w:rsidR="00D8230A" w:rsidRDefault="00D8230A" w:rsidP="00D8230A">
      <w:pPr>
        <w:pStyle w:val="ArticlePara"/>
      </w:pPr>
    </w:p>
    <w:p w14:paraId="08658772" w14:textId="77777777" w:rsidR="00D8230A" w:rsidRDefault="00D8230A" w:rsidP="00D8230A">
      <w:pPr>
        <w:pStyle w:val="ArticlePara"/>
        <w:sectPr w:rsidR="00D8230A" w:rsidSect="00D8230A">
          <w:headerReference w:type="even" r:id="rId5"/>
          <w:headerReference w:type="default" r:id="rId6"/>
          <w:footerReference w:type="even" r:id="rId7"/>
          <w:footerReference w:type="default" r:id="rId8"/>
          <w:footnotePr>
            <w:numRestart w:val="eachPage"/>
          </w:footnotePr>
          <w:pgSz w:w="11907" w:h="16840" w:code="9"/>
          <w:pgMar w:top="1440" w:right="2552" w:bottom="1440" w:left="851" w:header="720" w:footer="720" w:gutter="0"/>
          <w:cols w:space="284"/>
        </w:sectPr>
      </w:pPr>
    </w:p>
    <w:p w14:paraId="3A09DA7C" w14:textId="77777777" w:rsidR="00D8230A" w:rsidRDefault="00D8230A" w:rsidP="00D8230A">
      <w:pPr>
        <w:pStyle w:val="ArticleFirstPara"/>
      </w:pPr>
      <w:r>
        <w:lastRenderedPageBreak/>
        <w:t>The 5th Annual Scientific Conference of the Au</w:t>
      </w:r>
      <w:r>
        <w:t>s</w:t>
      </w:r>
      <w:r>
        <w:t>tralian Military Medicine Association was held at the historic Hyatt Hotel, Canberra, from the 6th to the 8th of September 1996. Over 100 del</w:t>
      </w:r>
      <w:r>
        <w:t>e</w:t>
      </w:r>
      <w:r>
        <w:t>gates from both the Permanent and Reserve D</w:t>
      </w:r>
      <w:r>
        <w:t>e</w:t>
      </w:r>
      <w:r>
        <w:t>fence Forces, as well as civilians with an i</w:t>
      </w:r>
      <w:r>
        <w:t>n</w:t>
      </w:r>
      <w:r>
        <w:t>terest in military medicine, were treated to a range of scientific and topical papers and pos</w:t>
      </w:r>
      <w:r>
        <w:t>t</w:t>
      </w:r>
      <w:r>
        <w:t>ers during the three days of procee</w:t>
      </w:r>
      <w:r>
        <w:t>d</w:t>
      </w:r>
      <w:r>
        <w:t>ings.</w:t>
      </w:r>
    </w:p>
    <w:p w14:paraId="270F981F" w14:textId="77777777" w:rsidR="00D8230A" w:rsidRDefault="00D8230A" w:rsidP="00D8230A">
      <w:pPr>
        <w:pStyle w:val="ArticlePara"/>
      </w:pPr>
      <w:r>
        <w:t>The Conference was opened by the Mini</w:t>
      </w:r>
      <w:r>
        <w:t>s</w:t>
      </w:r>
      <w:r>
        <w:t>ter for Defence Science, Industry and Personnel, the Honourable Bronwyn Bishop MP, who spoke highly of the contribution the uniformed health services provide to Australia’s defence capabi</w:t>
      </w:r>
      <w:r>
        <w:t>l</w:t>
      </w:r>
      <w:r>
        <w:t>ity. She noted also the frequent involvement in h</w:t>
      </w:r>
      <w:r>
        <w:t>u</w:t>
      </w:r>
      <w:r>
        <w:t>manitarian relief, both on a large and small scale.</w:t>
      </w:r>
    </w:p>
    <w:p w14:paraId="1C4BA545" w14:textId="77777777" w:rsidR="00D8230A" w:rsidRDefault="00D8230A" w:rsidP="00D8230A">
      <w:pPr>
        <w:pStyle w:val="ArticlePara"/>
      </w:pPr>
      <w:r>
        <w:t>The Conference themes were:</w:t>
      </w:r>
    </w:p>
    <w:p w14:paraId="1D1010E6" w14:textId="77777777" w:rsidR="00D8230A" w:rsidRDefault="00D8230A" w:rsidP="00D8230A">
      <w:pPr>
        <w:pStyle w:val="ArticlePara"/>
      </w:pPr>
    </w:p>
    <w:p w14:paraId="0C651050" w14:textId="77777777" w:rsidR="00D8230A" w:rsidRDefault="00D8230A" w:rsidP="00D8230A">
      <w:pPr>
        <w:pStyle w:val="ArticleFirstPara"/>
        <w:numPr>
          <w:ilvl w:val="0"/>
          <w:numId w:val="1"/>
        </w:numPr>
      </w:pPr>
      <w:r>
        <w:t xml:space="preserve">Operational Military Medicine </w:t>
      </w:r>
    </w:p>
    <w:p w14:paraId="1C2F8EDA" w14:textId="77777777" w:rsidR="00D8230A" w:rsidRDefault="00D8230A" w:rsidP="00D8230A">
      <w:pPr>
        <w:pStyle w:val="ArticleFirstPara"/>
        <w:numPr>
          <w:ilvl w:val="0"/>
          <w:numId w:val="1"/>
        </w:numPr>
      </w:pPr>
      <w:r>
        <w:t>Training Aspects of Military Medicine</w:t>
      </w:r>
    </w:p>
    <w:p w14:paraId="6788071A" w14:textId="77777777" w:rsidR="00D8230A" w:rsidRDefault="00D8230A" w:rsidP="00D8230A">
      <w:pPr>
        <w:pStyle w:val="ArticleFirstPara"/>
        <w:numPr>
          <w:ilvl w:val="0"/>
          <w:numId w:val="1"/>
        </w:numPr>
      </w:pPr>
      <w:r>
        <w:t>Research in Military Medicine</w:t>
      </w:r>
    </w:p>
    <w:p w14:paraId="68855C57" w14:textId="77777777" w:rsidR="00D8230A" w:rsidRDefault="00D8230A" w:rsidP="00D8230A">
      <w:pPr>
        <w:pStyle w:val="ArticleFirstPara"/>
        <w:numPr>
          <w:ilvl w:val="0"/>
          <w:numId w:val="1"/>
        </w:numPr>
      </w:pPr>
      <w:r>
        <w:t>Military Medicine and its Challenges</w:t>
      </w:r>
    </w:p>
    <w:p w14:paraId="5F346506" w14:textId="77777777" w:rsidR="00D8230A" w:rsidRDefault="00D8230A" w:rsidP="00D8230A">
      <w:pPr>
        <w:pStyle w:val="ArticlePara"/>
      </w:pPr>
    </w:p>
    <w:p w14:paraId="781474D6" w14:textId="77777777" w:rsidR="00D8230A" w:rsidRDefault="00D8230A" w:rsidP="00D8230A">
      <w:pPr>
        <w:pStyle w:val="ArticlePara"/>
      </w:pPr>
      <w:r>
        <w:t xml:space="preserve">There were two keynote addresses. In “Primum non </w:t>
      </w:r>
      <w:proofErr w:type="spellStart"/>
      <w:r>
        <w:t>nocere</w:t>
      </w:r>
      <w:proofErr w:type="spellEnd"/>
      <w:r>
        <w:t xml:space="preserve"> - above all, do no harm”, Ms Fiona Terry of </w:t>
      </w:r>
      <w:proofErr w:type="spellStart"/>
      <w:r>
        <w:t>Medecin</w:t>
      </w:r>
      <w:proofErr w:type="spellEnd"/>
      <w:r>
        <w:t xml:space="preserve"> Sans Frontiers pr</w:t>
      </w:r>
      <w:r>
        <w:t>o</w:t>
      </w:r>
      <w:r>
        <w:t>vided a thought provoking insight into the a</w:t>
      </w:r>
      <w:r>
        <w:t>c</w:t>
      </w:r>
      <w:r>
        <w:t>tivities of non-government humanitarian relief agencies. In the second, and perhaps the most telling a</w:t>
      </w:r>
      <w:r>
        <w:t>d</w:t>
      </w:r>
      <w:r>
        <w:t>dress of the Conference, Rodney Franks and P</w:t>
      </w:r>
      <w:r>
        <w:t>e</w:t>
      </w:r>
      <w:r>
        <w:t>ter Stride recounted their exper</w:t>
      </w:r>
      <w:r>
        <w:t>i</w:t>
      </w:r>
      <w:r>
        <w:t>ences during the 1996 Port Arthur ma</w:t>
      </w:r>
      <w:r>
        <w:t>s</w:t>
      </w:r>
      <w:r>
        <w:t>sacre.</w:t>
      </w:r>
    </w:p>
    <w:p w14:paraId="43D337E5" w14:textId="77777777" w:rsidR="00D8230A" w:rsidRDefault="00D8230A" w:rsidP="00D8230A">
      <w:pPr>
        <w:pStyle w:val="ArticleHeading"/>
      </w:pPr>
      <w:r>
        <w:t>‘Weary’ Dunlop Award</w:t>
      </w:r>
    </w:p>
    <w:p w14:paraId="1914134D" w14:textId="77777777" w:rsidR="00D8230A" w:rsidRDefault="00D8230A" w:rsidP="00D8230A">
      <w:pPr>
        <w:pStyle w:val="ArticleFirstPara"/>
      </w:pPr>
      <w:r>
        <w:t xml:space="preserve">The ‘Weary’ Dunlop Award, presented annually for the paper adjudged the best original work at the AMMA Scientific Conference, was won by Annette </w:t>
      </w:r>
      <w:proofErr w:type="spellStart"/>
      <w:r>
        <w:t>Owttrim</w:t>
      </w:r>
      <w:proofErr w:type="spellEnd"/>
      <w:r>
        <w:t xml:space="preserve"> for her work entitled “The role of the Nurse Practitioner in the Australian D</w:t>
      </w:r>
      <w:r>
        <w:t>e</w:t>
      </w:r>
      <w:r>
        <w:t>fence Force” (to be published in a future i</w:t>
      </w:r>
      <w:r>
        <w:t>s</w:t>
      </w:r>
      <w:r>
        <w:t>sue).</w:t>
      </w:r>
    </w:p>
    <w:p w14:paraId="323532E9" w14:textId="77777777" w:rsidR="00D8230A" w:rsidRDefault="00D8230A" w:rsidP="00D8230A">
      <w:pPr>
        <w:pStyle w:val="ArticleHeading"/>
      </w:pPr>
      <w:r>
        <w:t>Poster Award</w:t>
      </w:r>
    </w:p>
    <w:p w14:paraId="3DEEE87D" w14:textId="77777777" w:rsidR="00D8230A" w:rsidRDefault="00D8230A" w:rsidP="00D8230A">
      <w:pPr>
        <w:pStyle w:val="ArticleFirstPara"/>
      </w:pPr>
      <w:r>
        <w:t>An award of two books was presented to the a</w:t>
      </w:r>
      <w:r>
        <w:t>u</w:t>
      </w:r>
      <w:r>
        <w:t>thor of the best poster - David Andrew His presentation, “Potential dangers during oper</w:t>
      </w:r>
      <w:r>
        <w:t>a</w:t>
      </w:r>
      <w:r>
        <w:t>tions on victims of gunshots or fragmentation devices”, gave an excellent overview of the risks to medical staff of different types of ordnance.</w:t>
      </w:r>
    </w:p>
    <w:p w14:paraId="1159E711" w14:textId="77777777" w:rsidR="00D8230A" w:rsidRDefault="00D8230A" w:rsidP="00D8230A">
      <w:pPr>
        <w:pStyle w:val="ArticleHeading"/>
        <w:spacing w:before="0"/>
      </w:pPr>
      <w:r>
        <w:t>Patron’s Address</w:t>
      </w:r>
    </w:p>
    <w:p w14:paraId="410240FB" w14:textId="77777777" w:rsidR="00D8230A" w:rsidRDefault="00D8230A" w:rsidP="00D8230A">
      <w:pPr>
        <w:pStyle w:val="ArticleFirstPara"/>
      </w:pPr>
      <w:r>
        <w:t>Air Vice-Marshal Graeme Moller addressed the Conference delegates on the last day in his c</w:t>
      </w:r>
      <w:r>
        <w:t>a</w:t>
      </w:r>
      <w:r>
        <w:t xml:space="preserve">pacity as Patron of AMMA. Air Vice-Marshal Moller succeeded Major General David Rossi as Surgeon General in </w:t>
      </w:r>
      <w:proofErr w:type="gramStart"/>
      <w:r>
        <w:t>1996, and</w:t>
      </w:r>
      <w:proofErr w:type="gramEnd"/>
      <w:r>
        <w:t xml:space="preserve"> took the oppo</w:t>
      </w:r>
      <w:r>
        <w:t>r</w:t>
      </w:r>
      <w:r>
        <w:t>tunity to provide his support for AMMA and its aims and objectives.</w:t>
      </w:r>
    </w:p>
    <w:p w14:paraId="0E83B3CE" w14:textId="77777777" w:rsidR="00D8230A" w:rsidRDefault="00D8230A" w:rsidP="00D8230A">
      <w:pPr>
        <w:pStyle w:val="ArticleHeading"/>
      </w:pPr>
      <w:r>
        <w:t>Social Programme</w:t>
      </w:r>
    </w:p>
    <w:p w14:paraId="6D959869" w14:textId="77777777" w:rsidR="00D8230A" w:rsidRDefault="00D8230A" w:rsidP="00D8230A">
      <w:pPr>
        <w:pStyle w:val="ArticleFirstPara"/>
      </w:pPr>
      <w:r>
        <w:t>Conference delegates were welcomed to Canbe</w:t>
      </w:r>
      <w:r>
        <w:t>r</w:t>
      </w:r>
      <w:r>
        <w:t>ra on the first night at a Cocktail Reception hosted by the Chief Minister of the ACT, Mrs Kate Carnell.</w:t>
      </w:r>
    </w:p>
    <w:p w14:paraId="1F04E54A" w14:textId="77777777" w:rsidR="00D8230A" w:rsidRDefault="00D8230A" w:rsidP="00D8230A">
      <w:pPr>
        <w:pStyle w:val="ArticlePara"/>
      </w:pPr>
      <w:r>
        <w:t xml:space="preserve">The Conference Dinner was held on the </w:t>
      </w:r>
      <w:proofErr w:type="gramStart"/>
      <w:r>
        <w:t>Saturday, and</w:t>
      </w:r>
      <w:proofErr w:type="gramEnd"/>
      <w:r>
        <w:t xml:space="preserve"> was addressed by the Deputy Chief of Naval Staff, Rear Admiral Chris Barrie, AM, RAN. Admiral Barrie spoke on aspects of the future of the Defence Force into the 21st ce</w:t>
      </w:r>
      <w:r>
        <w:t>n</w:t>
      </w:r>
      <w:r>
        <w:t>tury.</w:t>
      </w:r>
    </w:p>
    <w:p w14:paraId="19DD0627" w14:textId="77777777" w:rsidR="00D8230A" w:rsidRDefault="00D8230A" w:rsidP="00D8230A">
      <w:pPr>
        <w:pStyle w:val="ArticleHeading"/>
      </w:pPr>
      <w:r>
        <w:t>Sponsorship and Trade Display</w:t>
      </w:r>
    </w:p>
    <w:p w14:paraId="4F41B778" w14:textId="77777777" w:rsidR="00D8230A" w:rsidRDefault="00D8230A" w:rsidP="00D8230A">
      <w:pPr>
        <w:pStyle w:val="ArticleFirstPara"/>
      </w:pPr>
      <w:r>
        <w:t>The AMMA received support from the following sponsors.</w:t>
      </w:r>
    </w:p>
    <w:p w14:paraId="2728645E" w14:textId="77777777" w:rsidR="00D8230A" w:rsidRDefault="00D8230A" w:rsidP="00D8230A">
      <w:pPr>
        <w:pStyle w:val="ArticleHeading"/>
      </w:pPr>
      <w:r>
        <w:t>Major Spo</w:t>
      </w:r>
      <w:r>
        <w:t>n</w:t>
      </w:r>
      <w:r>
        <w:t>sors</w:t>
      </w:r>
    </w:p>
    <w:p w14:paraId="539F2198" w14:textId="77777777" w:rsidR="00D8230A" w:rsidRDefault="00D8230A" w:rsidP="00D8230A">
      <w:pPr>
        <w:pStyle w:val="ArticleFirstPara"/>
        <w:numPr>
          <w:ilvl w:val="0"/>
          <w:numId w:val="1"/>
        </w:numPr>
      </w:pPr>
      <w:r>
        <w:t>Smith Kline Beecham</w:t>
      </w:r>
      <w:r>
        <w:tab/>
      </w:r>
    </w:p>
    <w:p w14:paraId="1AD8ADF2" w14:textId="77777777" w:rsidR="00D8230A" w:rsidRDefault="00D8230A" w:rsidP="00D8230A">
      <w:pPr>
        <w:pStyle w:val="ArticleFirstPara"/>
        <w:numPr>
          <w:ilvl w:val="0"/>
          <w:numId w:val="1"/>
        </w:numPr>
      </w:pPr>
      <w:proofErr w:type="spellStart"/>
      <w:r>
        <w:t>Lederle</w:t>
      </w:r>
      <w:proofErr w:type="spellEnd"/>
      <w:r>
        <w:t xml:space="preserve"> Laboratories</w:t>
      </w:r>
    </w:p>
    <w:p w14:paraId="0595DBB5" w14:textId="77777777" w:rsidR="00D8230A" w:rsidRDefault="00D8230A" w:rsidP="00D8230A">
      <w:pPr>
        <w:pStyle w:val="ArticleHeading"/>
      </w:pPr>
      <w:r>
        <w:t>Sponsors</w:t>
      </w:r>
    </w:p>
    <w:p w14:paraId="611A6A78" w14:textId="77777777" w:rsidR="00D8230A" w:rsidRDefault="00D8230A" w:rsidP="00D8230A">
      <w:pPr>
        <w:pStyle w:val="ArticleFirstPara"/>
        <w:numPr>
          <w:ilvl w:val="0"/>
          <w:numId w:val="1"/>
        </w:numPr>
      </w:pPr>
      <w:r>
        <w:t>Acute Care Systems</w:t>
      </w:r>
    </w:p>
    <w:p w14:paraId="4D7374E1" w14:textId="77777777" w:rsidR="00D8230A" w:rsidRDefault="00D8230A" w:rsidP="00D8230A">
      <w:pPr>
        <w:pStyle w:val="ArticleFirstPara"/>
        <w:numPr>
          <w:ilvl w:val="0"/>
          <w:numId w:val="1"/>
        </w:numPr>
      </w:pPr>
      <w:r>
        <w:t xml:space="preserve">Astra </w:t>
      </w:r>
      <w:proofErr w:type="spellStart"/>
      <w:r>
        <w:t>Phamaceuticals</w:t>
      </w:r>
      <w:proofErr w:type="spellEnd"/>
    </w:p>
    <w:p w14:paraId="6157BC2B" w14:textId="77777777" w:rsidR="00D8230A" w:rsidRDefault="00D8230A" w:rsidP="00D8230A">
      <w:pPr>
        <w:pStyle w:val="ArticleFirstPara"/>
        <w:numPr>
          <w:ilvl w:val="0"/>
          <w:numId w:val="1"/>
        </w:numPr>
      </w:pPr>
      <w:r>
        <w:t>Boehringer Mannheim</w:t>
      </w:r>
    </w:p>
    <w:p w14:paraId="7DDAB50E" w14:textId="77777777" w:rsidR="00D8230A" w:rsidRDefault="00D8230A" w:rsidP="00D8230A">
      <w:pPr>
        <w:pStyle w:val="ArticleFirstPara"/>
        <w:numPr>
          <w:ilvl w:val="0"/>
          <w:numId w:val="1"/>
        </w:numPr>
      </w:pPr>
      <w:r>
        <w:t>Commonwealth Serum Laboratories</w:t>
      </w:r>
    </w:p>
    <w:p w14:paraId="4A60C874" w14:textId="77777777" w:rsidR="00D8230A" w:rsidRDefault="00D8230A" w:rsidP="00D8230A">
      <w:pPr>
        <w:pStyle w:val="ArticleFirstPara"/>
        <w:numPr>
          <w:ilvl w:val="0"/>
          <w:numId w:val="1"/>
        </w:numPr>
      </w:pPr>
      <w:r>
        <w:t>EGO</w:t>
      </w:r>
    </w:p>
    <w:p w14:paraId="7DF6F968" w14:textId="77777777" w:rsidR="00D8230A" w:rsidRDefault="00D8230A" w:rsidP="00D8230A">
      <w:pPr>
        <w:pStyle w:val="ArticleFirstPara"/>
        <w:numPr>
          <w:ilvl w:val="0"/>
          <w:numId w:val="1"/>
        </w:numPr>
      </w:pPr>
      <w:r>
        <w:t xml:space="preserve">Janssen </w:t>
      </w:r>
      <w:proofErr w:type="spellStart"/>
      <w:r>
        <w:t>Cilag</w:t>
      </w:r>
      <w:proofErr w:type="spellEnd"/>
      <w:r>
        <w:t xml:space="preserve"> Pty Ltd</w:t>
      </w:r>
    </w:p>
    <w:p w14:paraId="06CB00DF" w14:textId="77777777" w:rsidR="00D8230A" w:rsidRDefault="00D8230A" w:rsidP="00D8230A">
      <w:pPr>
        <w:pStyle w:val="ArticleFirstPara"/>
        <w:numPr>
          <w:ilvl w:val="0"/>
          <w:numId w:val="1"/>
        </w:numPr>
      </w:pPr>
      <w:r>
        <w:t>Kimberley-Clark</w:t>
      </w:r>
    </w:p>
    <w:p w14:paraId="34ED28AE" w14:textId="77777777" w:rsidR="00D8230A" w:rsidRDefault="00D8230A" w:rsidP="00D8230A">
      <w:pPr>
        <w:pStyle w:val="ArticleFirstPara"/>
        <w:numPr>
          <w:ilvl w:val="0"/>
          <w:numId w:val="1"/>
        </w:numPr>
      </w:pPr>
      <w:r>
        <w:t>Laerdal Pty Ltd</w:t>
      </w:r>
    </w:p>
    <w:p w14:paraId="093E617F" w14:textId="77777777" w:rsidR="00D8230A" w:rsidRDefault="00D8230A" w:rsidP="00D8230A">
      <w:pPr>
        <w:pStyle w:val="ArticleFirstPara"/>
        <w:numPr>
          <w:ilvl w:val="0"/>
          <w:numId w:val="1"/>
        </w:numPr>
      </w:pPr>
      <w:r>
        <w:lastRenderedPageBreak/>
        <w:t>Medical Applications</w:t>
      </w:r>
    </w:p>
    <w:p w14:paraId="392F0726" w14:textId="77777777" w:rsidR="00D8230A" w:rsidRDefault="00D8230A" w:rsidP="00D8230A">
      <w:pPr>
        <w:pStyle w:val="ArticleFirstPara"/>
        <w:numPr>
          <w:ilvl w:val="0"/>
          <w:numId w:val="1"/>
        </w:numPr>
      </w:pPr>
      <w:r>
        <w:t>Medical Equipment Services</w:t>
      </w:r>
    </w:p>
    <w:p w14:paraId="5C32179E" w14:textId="77777777" w:rsidR="00D8230A" w:rsidRDefault="00D8230A" w:rsidP="00D8230A">
      <w:pPr>
        <w:pStyle w:val="ArticleFirstPara"/>
        <w:numPr>
          <w:ilvl w:val="0"/>
          <w:numId w:val="1"/>
        </w:numPr>
      </w:pPr>
      <w:proofErr w:type="spellStart"/>
      <w:r>
        <w:t>Medicraft</w:t>
      </w:r>
      <w:proofErr w:type="spellEnd"/>
    </w:p>
    <w:p w14:paraId="08C0E7F0" w14:textId="77777777" w:rsidR="00D8230A" w:rsidRDefault="00D8230A" w:rsidP="00D8230A">
      <w:pPr>
        <w:pStyle w:val="ArticleFirstPara"/>
        <w:numPr>
          <w:ilvl w:val="0"/>
          <w:numId w:val="1"/>
        </w:numPr>
      </w:pPr>
      <w:r>
        <w:t>Sandoz</w:t>
      </w:r>
    </w:p>
    <w:p w14:paraId="6B8E8600" w14:textId="77777777" w:rsidR="00D8230A" w:rsidRDefault="00D8230A" w:rsidP="00D8230A">
      <w:pPr>
        <w:pStyle w:val="ArticlePara"/>
      </w:pPr>
    </w:p>
    <w:p w14:paraId="55B7A775" w14:textId="77777777" w:rsidR="00D8230A" w:rsidRDefault="00D8230A" w:rsidP="00D8230A">
      <w:pPr>
        <w:pStyle w:val="ArticleHeading"/>
      </w:pPr>
      <w:r>
        <w:t>AMMA Merchandise</w:t>
      </w:r>
    </w:p>
    <w:p w14:paraId="01A01E48" w14:textId="77777777" w:rsidR="00D8230A" w:rsidRDefault="00D8230A" w:rsidP="00D8230A">
      <w:pPr>
        <w:pStyle w:val="ArticlePara"/>
        <w:ind w:firstLine="0"/>
      </w:pPr>
      <w:r>
        <w:t>A variety of new merchandise featuring the AMMA logo was available for sale.</w:t>
      </w:r>
    </w:p>
    <w:p w14:paraId="7960B2E5" w14:textId="77777777" w:rsidR="001E21CA" w:rsidRDefault="001E21CA">
      <w:bookmarkStart w:id="0" w:name="_GoBack"/>
      <w:bookmarkEnd w:id="0"/>
    </w:p>
    <w:sectPr w:rsidR="001E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1D63" w14:textId="77777777" w:rsidR="00686B70" w:rsidRDefault="00D8230A">
    <w:pPr>
      <w:pStyle w:val="Footer"/>
      <w:pBdr>
        <w:top w:val="single" w:sz="6" w:space="1" w:color="auto"/>
      </w:pBdr>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29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7C70" w14:textId="77777777" w:rsidR="00686B70" w:rsidRDefault="00D8230A">
    <w:pPr>
      <w:pStyle w:val="Footer"/>
      <w:pBdr>
        <w:top w:val="single" w:sz="6" w:space="1" w:color="auto"/>
      </w:pBdr>
      <w:jc w:val="cente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5D69" w14:textId="77777777" w:rsidR="00686B70" w:rsidRDefault="00D8230A">
    <w:pPr>
      <w:pStyle w:val="Header"/>
      <w:jc w:val="right"/>
    </w:pPr>
    <w:r>
      <w:rPr>
        <w:i/>
      </w:rPr>
      <w:t>Australian Military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17C1" w14:textId="77777777" w:rsidR="00686B70" w:rsidRDefault="00D8230A">
    <w:pPr>
      <w:pStyle w:val="Header"/>
    </w:pPr>
    <w:r>
      <w:rPr>
        <w:i/>
      </w:rPr>
      <w:t>Volume 5 Numbe</w:t>
    </w:r>
    <w:r>
      <w:rPr>
        <w:i/>
      </w:rPr>
      <w:t>r3, December 1996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4048FC"/>
    <w:lvl w:ilvl="0">
      <w:numFmt w:val="bullet"/>
      <w:lvlText w:val="*"/>
      <w:lvlJc w:val="left"/>
    </w:lvl>
  </w:abstractNum>
  <w:num w:numId="1">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0A"/>
    <w:rsid w:val="001E21CA"/>
    <w:rsid w:val="00D8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B481"/>
  <w15:chartTrackingRefBased/>
  <w15:docId w15:val="{BAF79963-B2D5-4E62-A5F8-6DE2B20F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3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AU"/>
    </w:rPr>
  </w:style>
  <w:style w:type="paragraph" w:styleId="Heading1">
    <w:name w:val="heading 1"/>
    <w:basedOn w:val="Normal"/>
    <w:next w:val="Normal"/>
    <w:link w:val="Heading1Char"/>
    <w:uiPriority w:val="9"/>
    <w:qFormat/>
    <w:rsid w:val="00D823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8230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D8230A"/>
  </w:style>
  <w:style w:type="paragraph" w:styleId="Header">
    <w:name w:val="header"/>
    <w:basedOn w:val="Normal"/>
    <w:link w:val="HeaderChar"/>
    <w:semiHidden/>
    <w:rsid w:val="00D8230A"/>
    <w:pPr>
      <w:tabs>
        <w:tab w:val="center" w:pos="4153"/>
        <w:tab w:val="right" w:pos="8306"/>
      </w:tabs>
    </w:pPr>
  </w:style>
  <w:style w:type="character" w:customStyle="1" w:styleId="HeaderChar">
    <w:name w:val="Header Char"/>
    <w:basedOn w:val="DefaultParagraphFont"/>
    <w:link w:val="Header"/>
    <w:semiHidden/>
    <w:rsid w:val="00D8230A"/>
    <w:rPr>
      <w:rFonts w:ascii="Times New Roman" w:eastAsia="Times New Roman" w:hAnsi="Times New Roman" w:cs="Times New Roman"/>
      <w:sz w:val="20"/>
      <w:szCs w:val="20"/>
      <w:lang w:val="en-AU" w:eastAsia="en-AU"/>
    </w:rPr>
  </w:style>
  <w:style w:type="paragraph" w:styleId="Footer">
    <w:name w:val="footer"/>
    <w:basedOn w:val="Normal"/>
    <w:link w:val="FooterChar"/>
    <w:semiHidden/>
    <w:rsid w:val="00D8230A"/>
    <w:pPr>
      <w:tabs>
        <w:tab w:val="center" w:pos="4153"/>
        <w:tab w:val="right" w:pos="8306"/>
      </w:tabs>
    </w:pPr>
  </w:style>
  <w:style w:type="character" w:customStyle="1" w:styleId="FooterChar">
    <w:name w:val="Footer Char"/>
    <w:basedOn w:val="DefaultParagraphFont"/>
    <w:link w:val="Footer"/>
    <w:semiHidden/>
    <w:rsid w:val="00D8230A"/>
    <w:rPr>
      <w:rFonts w:ascii="Times New Roman" w:eastAsia="Times New Roman" w:hAnsi="Times New Roman" w:cs="Times New Roman"/>
      <w:sz w:val="20"/>
      <w:szCs w:val="20"/>
      <w:lang w:val="en-AU" w:eastAsia="en-AU"/>
    </w:rPr>
  </w:style>
  <w:style w:type="paragraph" w:customStyle="1" w:styleId="ArticleTitle">
    <w:name w:val="Article Title"/>
    <w:basedOn w:val="Heading1"/>
    <w:next w:val="Normal"/>
    <w:rsid w:val="00D8230A"/>
    <w:pPr>
      <w:pBdr>
        <w:top w:val="single" w:sz="6" w:space="1" w:color="auto"/>
      </w:pBdr>
      <w:suppressAutoHyphens/>
      <w:spacing w:after="60"/>
      <w:outlineLvl w:val="9"/>
    </w:pPr>
    <w:rPr>
      <w:rFonts w:ascii="Times New Roman" w:eastAsia="Times New Roman" w:hAnsi="Times New Roman" w:cs="Times New Roman"/>
      <w:color w:val="auto"/>
      <w:kern w:val="28"/>
      <w:sz w:val="40"/>
      <w:szCs w:val="20"/>
    </w:rPr>
  </w:style>
  <w:style w:type="paragraph" w:customStyle="1" w:styleId="ArticleFirstPara">
    <w:name w:val="Article First Para"/>
    <w:basedOn w:val="ArticlePara"/>
    <w:next w:val="ArticlePara"/>
    <w:rsid w:val="00D8230A"/>
    <w:pPr>
      <w:ind w:firstLine="0"/>
    </w:pPr>
  </w:style>
  <w:style w:type="paragraph" w:customStyle="1" w:styleId="ArticlePara">
    <w:name w:val="Article Para"/>
    <w:basedOn w:val="Normal"/>
    <w:rsid w:val="00D8230A"/>
    <w:pPr>
      <w:tabs>
        <w:tab w:val="left" w:pos="567"/>
      </w:tabs>
      <w:ind w:firstLine="567"/>
      <w:jc w:val="both"/>
    </w:pPr>
    <w:rPr>
      <w:rFonts w:ascii="Century Schoolbook" w:hAnsi="Century Schoolbook"/>
      <w:sz w:val="18"/>
    </w:rPr>
  </w:style>
  <w:style w:type="paragraph" w:customStyle="1" w:styleId="ArticleHeading">
    <w:name w:val="Article Heading"/>
    <w:basedOn w:val="Heading3"/>
    <w:next w:val="ArticleFirstPara"/>
    <w:rsid w:val="00D8230A"/>
    <w:pPr>
      <w:suppressAutoHyphens/>
      <w:spacing w:before="240" w:after="60"/>
      <w:outlineLvl w:val="9"/>
    </w:pPr>
    <w:rPr>
      <w:rFonts w:ascii="Century Schoolbook" w:eastAsia="Times New Roman" w:hAnsi="Century Schoolbook" w:cs="Times New Roman"/>
      <w:b/>
      <w:color w:val="auto"/>
      <w:sz w:val="18"/>
      <w:szCs w:val="20"/>
    </w:rPr>
  </w:style>
  <w:style w:type="paragraph" w:customStyle="1" w:styleId="ArticleSection">
    <w:name w:val="Article Section"/>
    <w:basedOn w:val="Heading1"/>
    <w:next w:val="ArticleTitle"/>
    <w:rsid w:val="00D8230A"/>
    <w:pPr>
      <w:pageBreakBefore/>
      <w:suppressAutoHyphens/>
      <w:spacing w:before="0" w:after="60"/>
      <w:outlineLvl w:val="9"/>
    </w:pPr>
    <w:rPr>
      <w:rFonts w:ascii="Times New Roman" w:eastAsia="Times New Roman" w:hAnsi="Times New Roman" w:cs="Times New Roman"/>
      <w:i/>
      <w:color w:val="auto"/>
      <w:kern w:val="28"/>
      <w:sz w:val="48"/>
      <w:szCs w:val="20"/>
    </w:rPr>
  </w:style>
  <w:style w:type="character" w:customStyle="1" w:styleId="Heading1Char">
    <w:name w:val="Heading 1 Char"/>
    <w:basedOn w:val="DefaultParagraphFont"/>
    <w:link w:val="Heading1"/>
    <w:uiPriority w:val="9"/>
    <w:rsid w:val="00D8230A"/>
    <w:rPr>
      <w:rFonts w:asciiTheme="majorHAnsi" w:eastAsiaTheme="majorEastAsia" w:hAnsiTheme="majorHAnsi" w:cstheme="majorBidi"/>
      <w:color w:val="2F5496" w:themeColor="accent1" w:themeShade="BF"/>
      <w:sz w:val="32"/>
      <w:szCs w:val="32"/>
      <w:lang w:val="en-AU" w:eastAsia="en-AU"/>
    </w:rPr>
  </w:style>
  <w:style w:type="character" w:customStyle="1" w:styleId="Heading3Char">
    <w:name w:val="Heading 3 Char"/>
    <w:basedOn w:val="DefaultParagraphFont"/>
    <w:link w:val="Heading3"/>
    <w:uiPriority w:val="9"/>
    <w:semiHidden/>
    <w:rsid w:val="00D8230A"/>
    <w:rPr>
      <w:rFonts w:asciiTheme="majorHAnsi" w:eastAsiaTheme="majorEastAsia" w:hAnsiTheme="majorHAnsi" w:cstheme="majorBidi"/>
      <w:color w:val="1F3763" w:themeColor="accent1" w:themeShade="7F"/>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Abblitt</dc:creator>
  <cp:keywords/>
  <dc:description/>
  <cp:lastModifiedBy>Ebony Abblitt</cp:lastModifiedBy>
  <cp:revision>1</cp:revision>
  <dcterms:created xsi:type="dcterms:W3CDTF">2018-05-03T01:24:00Z</dcterms:created>
  <dcterms:modified xsi:type="dcterms:W3CDTF">2018-05-03T01:29:00Z</dcterms:modified>
</cp:coreProperties>
</file>